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35F5" w14:textId="77777777" w:rsidR="005709D1" w:rsidRDefault="005709D1" w:rsidP="00BE7834">
      <w:pPr>
        <w:jc w:val="both"/>
        <w:rPr>
          <w:b/>
          <w:bCs/>
        </w:rPr>
      </w:pPr>
    </w:p>
    <w:p w14:paraId="21290A62" w14:textId="2FE85665" w:rsidR="00BE7834" w:rsidRDefault="00BE7834" w:rsidP="00BE7834">
      <w:pPr>
        <w:jc w:val="both"/>
        <w:rPr>
          <w:b/>
          <w:bCs/>
        </w:rPr>
      </w:pPr>
      <w:r>
        <w:rPr>
          <w:b/>
          <w:bCs/>
        </w:rPr>
        <w:t>LO SCENARIO ECONOMICO 2022 E LE PREVISIONI 2023</w:t>
      </w:r>
      <w:r>
        <w:rPr>
          <w:rStyle w:val="Rimandonotaapidipagina"/>
          <w:b/>
          <w:bCs/>
        </w:rPr>
        <w:footnoteReference w:id="1"/>
      </w:r>
    </w:p>
    <w:p w14:paraId="3E800F45" w14:textId="77777777" w:rsidR="00BE7834" w:rsidRDefault="00BE7834" w:rsidP="00BE7834">
      <w:pPr>
        <w:jc w:val="both"/>
        <w:rPr>
          <w:b/>
          <w:bCs/>
        </w:rPr>
      </w:pPr>
    </w:p>
    <w:p w14:paraId="2B2B77DA" w14:textId="5E92D31D" w:rsidR="005709D1" w:rsidRDefault="00BE7834" w:rsidP="00FC0A25">
      <w:pPr>
        <w:spacing w:after="200"/>
        <w:jc w:val="both"/>
        <w:rPr>
          <w:b/>
          <w:bCs/>
        </w:rPr>
      </w:pPr>
      <w:r>
        <w:rPr>
          <w:b/>
          <w:bCs/>
        </w:rPr>
        <w:t>Il Quadro internazionale nel 2022</w:t>
      </w:r>
    </w:p>
    <w:p w14:paraId="2836143E" w14:textId="2F22ECBB" w:rsidR="0085456D" w:rsidRDefault="00BE7834" w:rsidP="0085456D">
      <w:pPr>
        <w:jc w:val="both"/>
      </w:pPr>
      <w:r>
        <w:t xml:space="preserve">Nel corso del 2022, </w:t>
      </w:r>
      <w:r w:rsidR="00333881">
        <w:t xml:space="preserve">il </w:t>
      </w:r>
      <w:r>
        <w:t>rialzo nei prezzi delle materie prime</w:t>
      </w:r>
      <w:r w:rsidR="00333881">
        <w:t xml:space="preserve"> e</w:t>
      </w:r>
      <w:r>
        <w:t xml:space="preserve"> </w:t>
      </w:r>
      <w:r w:rsidR="002B38EC">
        <w:t xml:space="preserve">l’impennata dei </w:t>
      </w:r>
      <w:r w:rsidR="008C6D59">
        <w:t>costi</w:t>
      </w:r>
      <w:r w:rsidR="002B38EC">
        <w:t xml:space="preserve"> del</w:t>
      </w:r>
      <w:r>
        <w:t>l’energia</w:t>
      </w:r>
      <w:r w:rsidR="00333881">
        <w:t xml:space="preserve"> causa</w:t>
      </w:r>
      <w:r w:rsidR="008C6D59">
        <w:t>ta</w:t>
      </w:r>
      <w:r w:rsidR="00333881">
        <w:t xml:space="preserve"> </w:t>
      </w:r>
      <w:r w:rsidR="008C7618">
        <w:t>dalla guerra</w:t>
      </w:r>
      <w:r w:rsidR="00333881">
        <w:t xml:space="preserve"> tra Russia e Ucraina</w:t>
      </w:r>
      <w:r w:rsidR="00224018">
        <w:t>,</w:t>
      </w:r>
      <w:r w:rsidR="00333881">
        <w:t xml:space="preserve"> </w:t>
      </w:r>
      <w:r w:rsidR="002B38EC">
        <w:t>con</w:t>
      </w:r>
      <w:r w:rsidR="00333881">
        <w:t xml:space="preserve"> le dinamiche d</w:t>
      </w:r>
      <w:r w:rsidR="002B38EC">
        <w:t xml:space="preserve">i </w:t>
      </w:r>
      <w:r w:rsidR="00333881">
        <w:t xml:space="preserve">inflazione generalizzata </w:t>
      </w:r>
      <w:r w:rsidR="002B38EC">
        <w:t>e</w:t>
      </w:r>
      <w:r w:rsidR="00333881">
        <w:t xml:space="preserve"> </w:t>
      </w:r>
      <w:r w:rsidR="00333881" w:rsidRPr="00333881">
        <w:t xml:space="preserve">l’impatto sui consumi </w:t>
      </w:r>
      <w:r w:rsidR="00224018" w:rsidRPr="00333881">
        <w:t>privati</w:t>
      </w:r>
      <w:r w:rsidR="00224018">
        <w:t>,</w:t>
      </w:r>
      <w:r w:rsidR="00224018" w:rsidRPr="00333881">
        <w:t xml:space="preserve"> </w:t>
      </w:r>
      <w:r w:rsidR="00224018">
        <w:t>hanno</w:t>
      </w:r>
      <w:r w:rsidR="00333881">
        <w:t xml:space="preserve"> influito in modo determinante sulla crescita dell’attività economica </w:t>
      </w:r>
      <w:r w:rsidR="008C6D59">
        <w:t xml:space="preserve">a livello </w:t>
      </w:r>
      <w:r w:rsidR="00FD742A">
        <w:t>globale.</w:t>
      </w:r>
      <w:r w:rsidR="00333881">
        <w:t xml:space="preserve"> </w:t>
      </w:r>
    </w:p>
    <w:p w14:paraId="4EB7ED0C" w14:textId="0FFDD08B" w:rsidR="008D6399" w:rsidRDefault="00260CE7" w:rsidP="008D6399">
      <w:pPr>
        <w:jc w:val="both"/>
      </w:pPr>
      <w:r>
        <w:t xml:space="preserve">Le analisi dell’Ocse </w:t>
      </w:r>
      <w:r w:rsidR="00881032">
        <w:t>registrano il rallentamento della</w:t>
      </w:r>
      <w:r w:rsidR="00BE7834">
        <w:t xml:space="preserve"> crescita economica </w:t>
      </w:r>
      <w:r w:rsidR="008C6D59">
        <w:t>mondiale</w:t>
      </w:r>
      <w:r w:rsidR="00815471">
        <w:t xml:space="preserve"> </w:t>
      </w:r>
      <w:r w:rsidR="00881032">
        <w:t xml:space="preserve">che si è fermata al </w:t>
      </w:r>
      <w:r w:rsidR="00BE7834">
        <w:t>3,1% a fronte del 5,9% registrat</w:t>
      </w:r>
      <w:r w:rsidR="008C6D59">
        <w:t>o</w:t>
      </w:r>
      <w:r w:rsidR="00BE7834">
        <w:t xml:space="preserve"> </w:t>
      </w:r>
      <w:r w:rsidR="00815471">
        <w:t>nel 2021</w:t>
      </w:r>
      <w:r w:rsidR="00224018">
        <w:t>,</w:t>
      </w:r>
      <w:r w:rsidR="008C6D59">
        <w:t xml:space="preserve"> e</w:t>
      </w:r>
      <w:r w:rsidR="00BE7834">
        <w:t xml:space="preserve"> </w:t>
      </w:r>
      <w:r w:rsidR="008C6D59">
        <w:t>anche</w:t>
      </w:r>
      <w:r w:rsidR="00815471">
        <w:t xml:space="preserve"> </w:t>
      </w:r>
      <w:r w:rsidR="00BE7834">
        <w:t>l’aumento nel volume di commercio internazionale (di beni e servizi)</w:t>
      </w:r>
      <w:r w:rsidR="008D6399">
        <w:t xml:space="preserve"> è stato pari </w:t>
      </w:r>
      <w:r w:rsidR="00BE7834">
        <w:t>al 5,4% e ben al di sotto dell’incremento del 10% relativo al 2021</w:t>
      </w:r>
      <w:r w:rsidR="00BE7834">
        <w:rPr>
          <w:rStyle w:val="Rimandonotaapidipagina"/>
        </w:rPr>
        <w:footnoteReference w:id="2"/>
      </w:r>
      <w:r w:rsidR="00BE7834">
        <w:t xml:space="preserve">. </w:t>
      </w:r>
    </w:p>
    <w:p w14:paraId="1648EDF3" w14:textId="35FD0C5D" w:rsidR="008D6399" w:rsidRDefault="00881032" w:rsidP="008D6399">
      <w:pPr>
        <w:jc w:val="both"/>
      </w:pPr>
      <w:r>
        <w:t xml:space="preserve">L’andamento del </w:t>
      </w:r>
      <w:r w:rsidR="008D6399">
        <w:t>Pil mondiale è stato ampiamente influenzato anche dalle contrazioni registrate in Cina</w:t>
      </w:r>
      <w:r w:rsidR="00224018">
        <w:t>,</w:t>
      </w:r>
      <w:r w:rsidR="008D6399">
        <w:t xml:space="preserve"> a causa dei lockdown estesi imposti nel II° trimestre 2022 per la riemersione </w:t>
      </w:r>
      <w:r w:rsidR="008C6D59">
        <w:t>del</w:t>
      </w:r>
      <w:r w:rsidR="008D6399">
        <w:t xml:space="preserve"> Covid-19</w:t>
      </w:r>
      <w:r w:rsidR="00224018">
        <w:t>,</w:t>
      </w:r>
      <w:r w:rsidR="008D6399">
        <w:t xml:space="preserve"> e </w:t>
      </w:r>
      <w:r w:rsidR="008C6D59">
        <w:t xml:space="preserve">dalla frenata registrata </w:t>
      </w:r>
      <w:r w:rsidR="008D6399">
        <w:t>negli Stati Uniti.</w:t>
      </w:r>
      <w:r w:rsidR="00224018">
        <w:t xml:space="preserve"> </w:t>
      </w:r>
      <w:r w:rsidR="008D6399">
        <w:t xml:space="preserve">Il tasso di crescita del </w:t>
      </w:r>
      <w:r w:rsidR="00224018">
        <w:t>Pil cinese</w:t>
      </w:r>
      <w:r w:rsidR="008D6399">
        <w:t xml:space="preserve"> è stato pari al 3% con un dato che</w:t>
      </w:r>
      <w:r w:rsidR="005709D1">
        <w:t>,</w:t>
      </w:r>
      <w:r w:rsidR="008D6399">
        <w:t xml:space="preserve"> anche se superiore alla media delle economie avanzate (2,7%), rappresenta uno dei risultati peggiori degli ultimi 40 anni (nel 2021 era stato pari +8,4%). </w:t>
      </w:r>
      <w:r w:rsidR="002B38EC">
        <w:t>Anche il</w:t>
      </w:r>
      <w:r w:rsidR="008D6399">
        <w:t xml:space="preserve"> dato sulla crescita statunitense risulta caratterizzato da un forte rallentamento, assestandosi al 2,</w:t>
      </w:r>
      <w:r w:rsidR="002B38EC">
        <w:t>1</w:t>
      </w:r>
      <w:r w:rsidR="008D6399">
        <w:t>% (a fronte del +5,9% registrato l’anno precedente)</w:t>
      </w:r>
      <w:r w:rsidR="008D6399">
        <w:rPr>
          <w:rStyle w:val="Rimandonotaapidipagina"/>
        </w:rPr>
        <w:footnoteReference w:id="3"/>
      </w:r>
      <w:r w:rsidR="008D6399">
        <w:t>.</w:t>
      </w:r>
    </w:p>
    <w:p w14:paraId="06DD51BB" w14:textId="0A389FC8" w:rsidR="008D6399" w:rsidRDefault="005709D1" w:rsidP="008D6399">
      <w:pPr>
        <w:jc w:val="both"/>
      </w:pPr>
      <w:r>
        <w:t>Solo l</w:t>
      </w:r>
      <w:r w:rsidR="008D6399">
        <w:t xml:space="preserve">’India ha sperimentato una crescita significativa (6,6%), </w:t>
      </w:r>
      <w:r>
        <w:t>con</w:t>
      </w:r>
      <w:r w:rsidR="008D6399">
        <w:t xml:space="preserve"> rallentamenti decisamente meno marcati rispetto al resto delle grandi economie mondiali. </w:t>
      </w:r>
    </w:p>
    <w:p w14:paraId="73952D3A" w14:textId="72EC4EA2" w:rsidR="008D6399" w:rsidRDefault="008D6399" w:rsidP="008D6399">
      <w:pPr>
        <w:jc w:val="both"/>
      </w:pPr>
      <w:r>
        <w:t>L’</w:t>
      </w:r>
      <w:r w:rsidR="007052C3">
        <w:t>a</w:t>
      </w:r>
      <w:r>
        <w:t xml:space="preserve">rea Euro ha mostrato un’espansione complessiva </w:t>
      </w:r>
      <w:r w:rsidR="00881032">
        <w:t>superiore all’andamento del resto del mondo con un +</w:t>
      </w:r>
      <w:r>
        <w:t xml:space="preserve"> 3,5%, trainata principalmente da Spagna e Italia, a fronte di una tendenza decisamente più contenuta per la Germania (+1,9%). </w:t>
      </w:r>
    </w:p>
    <w:p w14:paraId="280F7D75" w14:textId="50694C02" w:rsidR="00CC0D11" w:rsidRDefault="008C6D59" w:rsidP="005709D1">
      <w:pPr>
        <w:jc w:val="both"/>
      </w:pPr>
      <w:r>
        <w:t>Osservando g</w:t>
      </w:r>
      <w:r w:rsidR="00881032">
        <w:t xml:space="preserve">li </w:t>
      </w:r>
      <w:r w:rsidR="00815471">
        <w:t>and</w:t>
      </w:r>
      <w:r w:rsidR="008D6399">
        <w:t>a</w:t>
      </w:r>
      <w:r w:rsidR="00815471">
        <w:t>m</w:t>
      </w:r>
      <w:r w:rsidR="008D6399">
        <w:t>e</w:t>
      </w:r>
      <w:r w:rsidR="00815471">
        <w:t>nt</w:t>
      </w:r>
      <w:r w:rsidR="00881032">
        <w:t>i</w:t>
      </w:r>
      <w:r w:rsidR="00815471">
        <w:t xml:space="preserve"> annu</w:t>
      </w:r>
      <w:r w:rsidR="00881032">
        <w:t>i</w:t>
      </w:r>
      <w:r>
        <w:t xml:space="preserve">, </w:t>
      </w:r>
      <w:r w:rsidR="00881032">
        <w:t>dopo il primo trimestre di ripresa</w:t>
      </w:r>
      <w:r>
        <w:t>,</w:t>
      </w:r>
      <w:r w:rsidR="00881032">
        <w:t xml:space="preserve"> condizionato solo da pressioni inflattive</w:t>
      </w:r>
      <w:r>
        <w:t>, si sono manifestate</w:t>
      </w:r>
      <w:r w:rsidR="00881032">
        <w:t xml:space="preserve"> </w:t>
      </w:r>
      <w:r w:rsidR="005709D1">
        <w:t>una</w:t>
      </w:r>
      <w:r w:rsidR="00815471">
        <w:t xml:space="preserve"> frenata </w:t>
      </w:r>
      <w:r w:rsidR="00881032">
        <w:t>nel</w:t>
      </w:r>
      <w:r w:rsidR="00815471">
        <w:t xml:space="preserve"> secondo trimestre </w:t>
      </w:r>
      <w:r>
        <w:t>e</w:t>
      </w:r>
      <w:r w:rsidR="00563031">
        <w:t>,</w:t>
      </w:r>
      <w:r>
        <w:t xml:space="preserve"> nel trimestre successivo</w:t>
      </w:r>
      <w:r w:rsidR="00563031">
        <w:t>,</w:t>
      </w:r>
      <w:r>
        <w:t xml:space="preserve"> </w:t>
      </w:r>
      <w:r w:rsidR="00881032">
        <w:t xml:space="preserve">una </w:t>
      </w:r>
      <w:r w:rsidR="005E2159">
        <w:t xml:space="preserve">non prevista </w:t>
      </w:r>
      <w:r w:rsidR="00881032">
        <w:t xml:space="preserve">crescita </w:t>
      </w:r>
      <w:r w:rsidR="00815471">
        <w:t>in numerose economie</w:t>
      </w:r>
      <w:r w:rsidR="00CC0D11">
        <w:t>,</w:t>
      </w:r>
      <w:r w:rsidR="00881032">
        <w:t xml:space="preserve"> pur in presenza di tutti i fattori di instabilità legati alla guerra ed alla crescita generalizzata dei prezzi</w:t>
      </w:r>
      <w:r w:rsidR="00815471">
        <w:t>.</w:t>
      </w:r>
    </w:p>
    <w:p w14:paraId="17E32BB8" w14:textId="62BD27F0" w:rsidR="00815471" w:rsidRDefault="005709D1" w:rsidP="005709D1">
      <w:pPr>
        <w:jc w:val="both"/>
      </w:pPr>
      <w:r>
        <w:t>I</w:t>
      </w:r>
      <w:r w:rsidR="00815471" w:rsidRPr="005709D1">
        <w:t>l</w:t>
      </w:r>
      <w:r w:rsidR="00815471">
        <w:t xml:space="preserve"> Fondo Monetario Internazionale </w:t>
      </w:r>
      <w:r w:rsidR="004653D8">
        <w:t xml:space="preserve">(Fmi) </w:t>
      </w:r>
      <w:r w:rsidR="00815471">
        <w:t xml:space="preserve">ha </w:t>
      </w:r>
      <w:r>
        <w:t>evidenzi</w:t>
      </w:r>
      <w:r w:rsidR="00815471">
        <w:t>ato</w:t>
      </w:r>
      <w:r w:rsidR="00815471">
        <w:rPr>
          <w:rStyle w:val="Rimandonotaapidipagina"/>
        </w:rPr>
        <w:footnoteReference w:id="4"/>
      </w:r>
      <w:r w:rsidR="00815471">
        <w:t xml:space="preserve"> che consumi e investimenti privati sono stati più forti del previsto. Le famiglie hanno speso di più per soddisfare la domanda </w:t>
      </w:r>
      <w:r w:rsidR="00881032">
        <w:t>ines</w:t>
      </w:r>
      <w:r w:rsidR="00815471">
        <w:t>pressa</w:t>
      </w:r>
      <w:r w:rsidR="008C6D59">
        <w:t xml:space="preserve"> e posticipata durante la pandemia</w:t>
      </w:r>
      <w:r w:rsidR="00815471">
        <w:t xml:space="preserve">, in particolare per i servizi, e gli investimenti delle imprese sono aumentati di conseguenza. A questo va aggiunto un calo generale nei costi di trasporto e nei prezzi di </w:t>
      </w:r>
      <w:r w:rsidR="00881032">
        <w:t xml:space="preserve">molti </w:t>
      </w:r>
      <w:r w:rsidR="00815471">
        <w:t>fattori di produzione, oltre all’adattamento più rapido del previsto dei mercati energetici allo shock provocato dalla guerra tra Russia e Ucraina.</w:t>
      </w:r>
    </w:p>
    <w:p w14:paraId="0110E6F9" w14:textId="598EBC31" w:rsidR="00815471" w:rsidRDefault="00815471" w:rsidP="00815471">
      <w:pPr>
        <w:jc w:val="both"/>
      </w:pPr>
      <w:r>
        <w:t xml:space="preserve">Nel quarto trimestre </w:t>
      </w:r>
      <w:r w:rsidR="00881032">
        <w:t xml:space="preserve">2022 </w:t>
      </w:r>
      <w:r>
        <w:t xml:space="preserve">si stima che tale ripresa sia andata </w:t>
      </w:r>
      <w:r w:rsidR="00881032">
        <w:t xml:space="preserve">nuovamente </w:t>
      </w:r>
      <w:r>
        <w:t xml:space="preserve">attenuandosi nella maggior parte delle principali economie. Come riflesso del calo dei redditi reali nella maggior parte dei paesi </w:t>
      </w:r>
      <w:r w:rsidR="007077B3">
        <w:t>Ocse</w:t>
      </w:r>
      <w:r>
        <w:t xml:space="preserve"> è diminuita</w:t>
      </w:r>
      <w:r w:rsidR="009A2248">
        <w:t>,</w:t>
      </w:r>
      <w:r>
        <w:t xml:space="preserve"> infatti</w:t>
      </w:r>
      <w:r w:rsidR="009A2248">
        <w:t>,</w:t>
      </w:r>
      <w:r>
        <w:t xml:space="preserve"> la fiducia dei consumatori</w:t>
      </w:r>
      <w:r w:rsidR="009A2248">
        <w:t>. L’</w:t>
      </w:r>
      <w:r>
        <w:t xml:space="preserve"> aumento dell’inflazione non </w:t>
      </w:r>
      <w:r w:rsidR="009A2248">
        <w:t xml:space="preserve">è stato </w:t>
      </w:r>
      <w:r>
        <w:t xml:space="preserve">accompagnato da una crescita più rapida nei redditi nominali. </w:t>
      </w:r>
    </w:p>
    <w:p w14:paraId="0079899F" w14:textId="60A500D2" w:rsidR="00815471" w:rsidRDefault="008C6D59" w:rsidP="00815471">
      <w:pPr>
        <w:jc w:val="both"/>
      </w:pPr>
      <w:r>
        <w:lastRenderedPageBreak/>
        <w:t>Per dare un</w:t>
      </w:r>
      <w:r w:rsidR="00F433D0">
        <w:t>’</w:t>
      </w:r>
      <w:r>
        <w:t>idea della forza della dinamica inflattiva</w:t>
      </w:r>
      <w:r w:rsidR="009A2248">
        <w:t xml:space="preserve"> nel periodo</w:t>
      </w:r>
      <w:r>
        <w:t xml:space="preserve"> basta osservare l</w:t>
      </w:r>
      <w:r w:rsidR="00815471">
        <w:t>’indice dei prezzi al consumo armonizzato (IPCA) nell’</w:t>
      </w:r>
      <w:r w:rsidR="007052C3">
        <w:t>a</w:t>
      </w:r>
      <w:r w:rsidR="00815471">
        <w:t>rea Euro</w:t>
      </w:r>
      <w:r w:rsidR="00F433D0">
        <w:t>,</w:t>
      </w:r>
      <w:r w:rsidR="00815471">
        <w:t xml:space="preserve"> </w:t>
      </w:r>
      <w:r w:rsidR="00744B72">
        <w:t xml:space="preserve">che ha </w:t>
      </w:r>
      <w:r w:rsidR="00815471">
        <w:t xml:space="preserve">raggiunto il picco annuale nel mese di </w:t>
      </w:r>
      <w:r w:rsidR="00F433D0">
        <w:t>o</w:t>
      </w:r>
      <w:r w:rsidR="00815471">
        <w:t xml:space="preserve">ttobre </w:t>
      </w:r>
      <w:r w:rsidR="00744B72">
        <w:t xml:space="preserve">toccando </w:t>
      </w:r>
      <w:r w:rsidR="00815471">
        <w:t xml:space="preserve">quota 121,04, con un aumento di 10,3 punti rispetto a </w:t>
      </w:r>
      <w:r w:rsidR="005E2159">
        <w:t>G</w:t>
      </w:r>
      <w:r w:rsidR="00815471">
        <w:t>ennaio</w:t>
      </w:r>
      <w:r w:rsidR="005E2159">
        <w:t xml:space="preserve"> 2022</w:t>
      </w:r>
      <w:r w:rsidR="00C75A54">
        <w:rPr>
          <w:rStyle w:val="Rimandonotaapidipagina"/>
        </w:rPr>
        <w:footnoteReference w:id="5"/>
      </w:r>
      <w:r w:rsidR="00815471">
        <w:t xml:space="preserve">. </w:t>
      </w:r>
    </w:p>
    <w:p w14:paraId="6037E7FB" w14:textId="1A1CE7EA" w:rsidR="005E2159" w:rsidRDefault="00744B72" w:rsidP="005E2159">
      <w:pPr>
        <w:jc w:val="both"/>
      </w:pPr>
      <w:r>
        <w:t xml:space="preserve">L’inflazione ha penalizzato </w:t>
      </w:r>
      <w:r w:rsidR="00C64AE9">
        <w:t>gli andamenti relativi al</w:t>
      </w:r>
      <w:r w:rsidR="005E2159">
        <w:t xml:space="preserve"> commercio mondiale di merci </w:t>
      </w:r>
      <w:r>
        <w:t>nell’ultima fase dell’anno.  A fronte di</w:t>
      </w:r>
      <w:r w:rsidR="005E2159">
        <w:t xml:space="preserve"> un incremento tendenziale del 3,2%</w:t>
      </w:r>
      <w:r>
        <w:t xml:space="preserve"> a</w:t>
      </w:r>
      <w:r w:rsidR="005E2159">
        <w:t xml:space="preserve"> Dicembre 2022 </w:t>
      </w:r>
      <w:r>
        <w:t xml:space="preserve">il volume di scambi si era contratto </w:t>
      </w:r>
      <w:r w:rsidR="005E2159">
        <w:t>del 3,7%</w:t>
      </w:r>
      <w:r>
        <w:t xml:space="preserve"> rispetto al mese di </w:t>
      </w:r>
      <w:proofErr w:type="gramStart"/>
      <w:r>
        <w:t>Settembre</w:t>
      </w:r>
      <w:proofErr w:type="gramEnd"/>
      <w:r w:rsidR="005E2159">
        <w:t>.</w:t>
      </w:r>
    </w:p>
    <w:p w14:paraId="3B86E3DF" w14:textId="0A9B9B81" w:rsidR="00BE7834" w:rsidRDefault="00BE7834" w:rsidP="00BE7834">
      <w:pPr>
        <w:jc w:val="both"/>
      </w:pPr>
      <w:r>
        <w:t xml:space="preserve">Il </w:t>
      </w:r>
      <w:r w:rsidR="00FC0755">
        <w:t>Fmi</w:t>
      </w:r>
      <w:r>
        <w:t xml:space="preserve"> segnala </w:t>
      </w:r>
      <w:r w:rsidR="00744B72">
        <w:t>in ogni caso</w:t>
      </w:r>
      <w:r w:rsidR="005E2159">
        <w:t xml:space="preserve"> che n</w:t>
      </w:r>
      <w:r>
        <w:t xml:space="preserve">egli Stati Uniti </w:t>
      </w:r>
      <w:r w:rsidR="005E2159">
        <w:t xml:space="preserve">la crescita </w:t>
      </w:r>
      <w:r>
        <w:t xml:space="preserve">è stata più forte del previsto, con i consumatori che </w:t>
      </w:r>
      <w:r w:rsidR="00C64AE9">
        <w:t xml:space="preserve">anche </w:t>
      </w:r>
      <w:r>
        <w:t>negli ultimi mesi del 2022 hanno continuato a spendere attingendo ai loro risparmi (con un tasso di risparmio personale tra i più bassi degli ultimi 60 anni, la disoccupazione vicina ai minimi storici e le opportunità di lavoro molto abbondanti).</w:t>
      </w:r>
    </w:p>
    <w:p w14:paraId="40E0BC13" w14:textId="7F11FED4" w:rsidR="00BE7834" w:rsidRDefault="00BE7834" w:rsidP="00BE7834">
      <w:pPr>
        <w:jc w:val="both"/>
      </w:pPr>
      <w:r>
        <w:t>Per quanto riguarda il mercato del lavoro</w:t>
      </w:r>
      <w:r>
        <w:rPr>
          <w:rStyle w:val="Rimandonotaapidipagina"/>
        </w:rPr>
        <w:footnoteReference w:id="6"/>
      </w:r>
      <w:r>
        <w:t xml:space="preserve">, nella media delle economie </w:t>
      </w:r>
      <w:r w:rsidR="007D31B5">
        <w:t>Ocse</w:t>
      </w:r>
      <w:r>
        <w:t xml:space="preserve"> il tasso di disoccupazione nel 2022 è stato pari al 5,0%, con una diminuzione tendenziale di circa 1,2 punti. Più in dettaglio, il tasso di disoccupazione è diminuito di circa 0,9 punti nell’U</w:t>
      </w:r>
      <w:r w:rsidR="00520BAA">
        <w:t>e</w:t>
      </w:r>
      <w:r>
        <w:t>, in particolare nell’</w:t>
      </w:r>
      <w:r w:rsidR="007052C3">
        <w:t>a</w:t>
      </w:r>
      <w:r>
        <w:t xml:space="preserve">rea Euro, dove il tasso è passato da 7,7 a 6,7 in un anno. Tra i paesi con un tasso di disoccupazione superiore alla media europea, hanno subito cali sensibili i tassi </w:t>
      </w:r>
      <w:r w:rsidR="009A2248">
        <w:t>in</w:t>
      </w:r>
      <w:r>
        <w:t xml:space="preserve"> Italia (-1,</w:t>
      </w:r>
      <w:r w:rsidR="008D6399">
        <w:t>2</w:t>
      </w:r>
      <w:r>
        <w:t xml:space="preserve"> punti) e Spagna (-1,9 punti). Decisamente elevato anche il calo registrato dagli Stati Uniti, dove il tasso di disoccupazione è passato dal 5,4</w:t>
      </w:r>
      <w:r w:rsidR="009A2248">
        <w:t>%</w:t>
      </w:r>
      <w:r>
        <w:t xml:space="preserve"> medio registrato nel 2021 al 3,6</w:t>
      </w:r>
      <w:r w:rsidR="009A2248">
        <w:t>%</w:t>
      </w:r>
      <w:r>
        <w:t xml:space="preserve"> del 2022. </w:t>
      </w:r>
    </w:p>
    <w:p w14:paraId="585F31C6" w14:textId="77777777" w:rsidR="00472546" w:rsidRDefault="00472546" w:rsidP="00BE7834">
      <w:pPr>
        <w:jc w:val="both"/>
        <w:rPr>
          <w:b/>
          <w:bCs/>
        </w:rPr>
      </w:pPr>
    </w:p>
    <w:p w14:paraId="45238129" w14:textId="790BF550" w:rsidR="00F4720C" w:rsidRPr="00AA7A98" w:rsidRDefault="00BE7834" w:rsidP="00BE7834">
      <w:pPr>
        <w:jc w:val="both"/>
        <w:rPr>
          <w:b/>
          <w:bCs/>
        </w:rPr>
      </w:pPr>
      <w:r>
        <w:rPr>
          <w:b/>
          <w:bCs/>
        </w:rPr>
        <w:t>Le previsioni internazionali per il 2023</w:t>
      </w:r>
    </w:p>
    <w:p w14:paraId="2E21EFBA" w14:textId="27DB75B6" w:rsidR="0058263A" w:rsidRDefault="0058263A" w:rsidP="0058263A">
      <w:pPr>
        <w:jc w:val="both"/>
      </w:pPr>
      <w:r w:rsidRPr="00E72324">
        <w:t xml:space="preserve">Le ultime previsioni del Fondo Monetario Internazionale e </w:t>
      </w:r>
      <w:r>
        <w:t>dell’</w:t>
      </w:r>
      <w:r w:rsidR="00AA7A98">
        <w:t>Ocse</w:t>
      </w:r>
      <w:r w:rsidRPr="00E72324">
        <w:t xml:space="preserve"> </w:t>
      </w:r>
      <w:r>
        <w:t>hanno</w:t>
      </w:r>
      <w:r w:rsidRPr="00E72324">
        <w:t xml:space="preserve"> visto </w:t>
      </w:r>
      <w:r>
        <w:t>a</w:t>
      </w:r>
      <w:r w:rsidRPr="00E72324">
        <w:t xml:space="preserve"> rialzo il </w:t>
      </w:r>
      <w:r>
        <w:t>Pil</w:t>
      </w:r>
      <w:r w:rsidRPr="00E72324">
        <w:t xml:space="preserve"> mondiale per </w:t>
      </w:r>
      <w:proofErr w:type="gramStart"/>
      <w:r w:rsidRPr="00E72324">
        <w:t>il  202</w:t>
      </w:r>
      <w:r>
        <w:t>3</w:t>
      </w:r>
      <w:proofErr w:type="gramEnd"/>
      <w:r w:rsidRPr="00E72324">
        <w:rPr>
          <w:rStyle w:val="Rimandonotaapidipagina"/>
        </w:rPr>
        <w:footnoteReference w:id="7"/>
      </w:r>
      <w:r>
        <w:t>, se pur con notevoli cambiamenti rispetto alle analisi di scenario precedenti allo scoppio del conflitto tra Russia e Ucraina.</w:t>
      </w:r>
      <w:r w:rsidRPr="00E72324">
        <w:t xml:space="preserve"> </w:t>
      </w:r>
    </w:p>
    <w:p w14:paraId="17A415CA" w14:textId="4044A43A" w:rsidR="0058263A" w:rsidRDefault="0058263A" w:rsidP="0058263A">
      <w:pPr>
        <w:jc w:val="both"/>
      </w:pPr>
      <w:r w:rsidRPr="0058263A">
        <w:t xml:space="preserve">Il </w:t>
      </w:r>
      <w:r w:rsidR="005E0DB6">
        <w:t>Fmi</w:t>
      </w:r>
      <w:r w:rsidRPr="0058263A">
        <w:t xml:space="preserve"> ha aumentato leggermente le sue prospettive di crescita globale per il 2023 in ragione del fatto che la domanda si è dimostrata “sorprendentemente resiliente” negli Stati Uniti e in Europa, mentre i costi energetici si sono ridotti e l’economia cinese è ripartita dopo i ripetuti lockdown gen</w:t>
      </w:r>
      <w:r>
        <w:t>e</w:t>
      </w:r>
      <w:r w:rsidRPr="0058263A">
        <w:t>ralizzati.</w:t>
      </w:r>
      <w:r w:rsidR="00C8214B">
        <w:t xml:space="preserve"> L</w:t>
      </w:r>
      <w:r w:rsidRPr="00E72324">
        <w:t xml:space="preserve">’economia mondiale </w:t>
      </w:r>
      <w:r>
        <w:t>dovrebbe</w:t>
      </w:r>
      <w:r w:rsidRPr="00E72324">
        <w:t xml:space="preserve"> sperimentare</w:t>
      </w:r>
      <w:r>
        <w:t xml:space="preserve">, quindi, </w:t>
      </w:r>
      <w:r w:rsidRPr="00E72324">
        <w:t xml:space="preserve">un’espansione complessiva del </w:t>
      </w:r>
      <w:r>
        <w:t>2,9</w:t>
      </w:r>
      <w:r w:rsidRPr="00E72324">
        <w:t xml:space="preserve">% nel </w:t>
      </w:r>
      <w:r>
        <w:t>corso del 2023, con una perdita di 0,9 punti percentuali rispetto alle previsioni risalenti ad inizio 2022</w:t>
      </w:r>
      <w:r w:rsidRPr="00E72324">
        <w:t xml:space="preserve">. </w:t>
      </w:r>
    </w:p>
    <w:p w14:paraId="6D7BE4F3" w14:textId="7303B5EA" w:rsidR="00EF1C81" w:rsidRDefault="00BE7834" w:rsidP="00EF1C81">
      <w:pPr>
        <w:jc w:val="both"/>
      </w:pPr>
      <w:r>
        <w:t>Il Pil cinese, dopo una variazione nulla in termini congiunturali nel quarto trimestre</w:t>
      </w:r>
      <w:r w:rsidR="009A2248">
        <w:t xml:space="preserve"> 2022</w:t>
      </w:r>
      <w:r>
        <w:t>, ha fatto registrare un incremento annuo del 3,0</w:t>
      </w:r>
      <w:r w:rsidR="0085456D">
        <w:t>%</w:t>
      </w:r>
      <w:r>
        <w:t>. L'attività economica in Cina, come già sottolineato, ha subito un forte rallentamento a causa di numerosi focolai di Covid-19 a Pechino e in altre località densamente popolate</w:t>
      </w:r>
      <w:r w:rsidR="00F4720C">
        <w:t xml:space="preserve"> e </w:t>
      </w:r>
      <w:r w:rsidR="00943116">
        <w:t>de</w:t>
      </w:r>
      <w:r w:rsidR="00F4720C">
        <w:t xml:space="preserve">i lockdown molto stringenti </w:t>
      </w:r>
      <w:r w:rsidR="00FA6375">
        <w:t>che hanno continuato a</w:t>
      </w:r>
      <w:r w:rsidR="00FD5266">
        <w:t>d</w:t>
      </w:r>
      <w:r w:rsidR="00FA6375">
        <w:t xml:space="preserve"> essere </w:t>
      </w:r>
      <w:r w:rsidR="00F4720C">
        <w:t>imposti alla popolazione sino a</w:t>
      </w:r>
      <w:r w:rsidR="00EF1C81">
        <w:t xml:space="preserve"> Novembre</w:t>
      </w:r>
      <w:r w:rsidR="00FA6375">
        <w:t xml:space="preserve"> </w:t>
      </w:r>
      <w:r w:rsidR="00CC0D11">
        <w:t>–</w:t>
      </w:r>
      <w:r w:rsidR="00FA6375">
        <w:t xml:space="preserve"> Dicembre</w:t>
      </w:r>
      <w:r w:rsidR="00CC0D11">
        <w:t xml:space="preserve"> del 2022</w:t>
      </w:r>
      <w:r w:rsidR="00EF1C81">
        <w:t xml:space="preserve">. </w:t>
      </w:r>
      <w:r w:rsidR="00744B72">
        <w:t xml:space="preserve">Con la fine delle restrizioni sanitarie </w:t>
      </w:r>
      <w:r w:rsidR="00172415">
        <w:t>l</w:t>
      </w:r>
      <w:r w:rsidR="00744B72">
        <w:t>e attese per l’economia cinese sono positive per quanto riguarda il 2023, con la variazione prevista che si assesta al +5,2%</w:t>
      </w:r>
      <w:r w:rsidR="00744B72">
        <w:rPr>
          <w:rStyle w:val="Rimandonotaapidipagina"/>
        </w:rPr>
        <w:footnoteReference w:id="8"/>
      </w:r>
      <w:r w:rsidR="00744B72">
        <w:t xml:space="preserve">.   </w:t>
      </w:r>
      <w:r w:rsidR="00EF1C81">
        <w:t xml:space="preserve"> </w:t>
      </w:r>
      <w:r>
        <w:t xml:space="preserve"> </w:t>
      </w:r>
    </w:p>
    <w:p w14:paraId="6F84E7C7" w14:textId="30BB5479" w:rsidR="00BE7834" w:rsidRDefault="00744B72" w:rsidP="00EF1C81">
      <w:pPr>
        <w:jc w:val="both"/>
      </w:pPr>
      <w:r>
        <w:t xml:space="preserve">L’indice </w:t>
      </w:r>
      <w:r w:rsidR="00BE7834">
        <w:t xml:space="preserve">PMI </w:t>
      </w:r>
      <w:proofErr w:type="spellStart"/>
      <w:r w:rsidR="00BE7834">
        <w:t>Caixin</w:t>
      </w:r>
      <w:proofErr w:type="spellEnd"/>
      <w:r w:rsidR="00BE7834">
        <w:t xml:space="preserve"> dei servizi e della manifattura </w:t>
      </w:r>
      <w:r w:rsidR="00261F61">
        <w:t xml:space="preserve">cinese </w:t>
      </w:r>
      <w:r w:rsidR="00BE7834">
        <w:t xml:space="preserve">a </w:t>
      </w:r>
      <w:r>
        <w:t>Febbraio</w:t>
      </w:r>
      <w:r w:rsidR="00261F61">
        <w:t xml:space="preserve"> </w:t>
      </w:r>
      <w:r w:rsidR="00087344">
        <w:t>2023 è</w:t>
      </w:r>
      <w:r w:rsidR="00261F61">
        <w:t xml:space="preserve"> tornato a </w:t>
      </w:r>
      <w:r w:rsidRPr="00261F61">
        <w:t>espan</w:t>
      </w:r>
      <w:r w:rsidR="00261F61" w:rsidRPr="00261F61">
        <w:t>dersi</w:t>
      </w:r>
      <w:r w:rsidRPr="00261F61">
        <w:t xml:space="preserve">, ponendo fine a sei mesi di contrazione e segnando un massimo da </w:t>
      </w:r>
      <w:proofErr w:type="gramStart"/>
      <w:r w:rsidR="00261F61">
        <w:t>G</w:t>
      </w:r>
      <w:r w:rsidRPr="00261F61">
        <w:t>iugno</w:t>
      </w:r>
      <w:proofErr w:type="gramEnd"/>
      <w:r w:rsidR="00BE7834">
        <w:t xml:space="preserve">. </w:t>
      </w:r>
    </w:p>
    <w:p w14:paraId="58BCBE8B" w14:textId="0E9C1BCD" w:rsidR="00BE7834" w:rsidRDefault="00BE7834" w:rsidP="00BE7834">
      <w:pPr>
        <w:jc w:val="both"/>
      </w:pPr>
      <w:r>
        <w:lastRenderedPageBreak/>
        <w:t>Secondo le previsioni del Fondo Monetario Internazionale</w:t>
      </w:r>
      <w:r>
        <w:rPr>
          <w:rStyle w:val="Rimandonotaapidipagina"/>
        </w:rPr>
        <w:footnoteReference w:id="9"/>
      </w:r>
      <w:r>
        <w:t xml:space="preserve">, </w:t>
      </w:r>
      <w:r w:rsidR="00262C9C" w:rsidRPr="00262C9C">
        <w:t>dopo una crescita complessiva del 3,5% registrata nel 2022, l’</w:t>
      </w:r>
      <w:r w:rsidR="00261F61">
        <w:t>a</w:t>
      </w:r>
      <w:r w:rsidR="00262C9C" w:rsidRPr="00262C9C">
        <w:t>rea Euro dovrebbe sperimentare un ulteriore</w:t>
      </w:r>
      <w:r w:rsidR="00261F61">
        <w:t xml:space="preserve"> e più</w:t>
      </w:r>
      <w:r w:rsidR="0058263A">
        <w:t xml:space="preserve"> deciso </w:t>
      </w:r>
      <w:r w:rsidR="00262C9C" w:rsidRPr="00262C9C">
        <w:t xml:space="preserve">rallentamento nel corso del 2023, con un tasso medio </w:t>
      </w:r>
      <w:r w:rsidR="00CC0D11">
        <w:t xml:space="preserve">di crescita del </w:t>
      </w:r>
      <w:r w:rsidR="00815968">
        <w:t>Pil</w:t>
      </w:r>
      <w:r w:rsidR="00CC0D11">
        <w:t xml:space="preserve"> </w:t>
      </w:r>
      <w:r w:rsidR="00261F61">
        <w:t xml:space="preserve">solo </w:t>
      </w:r>
      <w:r w:rsidR="00262C9C" w:rsidRPr="00262C9C">
        <w:t>dello 0,7%. Particolarmente negative le proiezioni riguardanti la Germania</w:t>
      </w:r>
      <w:r>
        <w:t xml:space="preserve">, per la quale si attende una crescita quasi nulla nel corso dell’anno. </w:t>
      </w:r>
    </w:p>
    <w:p w14:paraId="46F2582B" w14:textId="07ACD25E" w:rsidR="0058263A" w:rsidRDefault="00BE7834" w:rsidP="00BE7834">
      <w:pPr>
        <w:jc w:val="both"/>
      </w:pPr>
      <w:r>
        <w:t>Stando alle più recenti previsioni economiche della Commissione Europea</w:t>
      </w:r>
      <w:r>
        <w:rPr>
          <w:rStyle w:val="Rimandonotaapidipagina"/>
        </w:rPr>
        <w:footnoteReference w:id="10"/>
      </w:r>
      <w:r>
        <w:t xml:space="preserve">, l’elevata inflazione nella prima parte del 2023 determinerà un inasprimento della politica monetaria, </w:t>
      </w:r>
      <w:r w:rsidR="00C64AE9">
        <w:t xml:space="preserve">con effetti restrittivi </w:t>
      </w:r>
      <w:r>
        <w:t xml:space="preserve">soprattutto per ciò che riguarda i settori più sensibili ai tassi di interesse, come quello delle costruzioni. </w:t>
      </w:r>
    </w:p>
    <w:p w14:paraId="0F869273" w14:textId="33E4699F" w:rsidR="00CC0D11" w:rsidRDefault="00BE7834" w:rsidP="00BE7834">
      <w:pPr>
        <w:jc w:val="both"/>
      </w:pPr>
      <w:r>
        <w:t>Nel breve termine, si prevede un andamento dei salari inferiore all’inflazione, con conseguenti riduzioni dei consumi reali. Tuttavia</w:t>
      </w:r>
      <w:r w:rsidR="00C92AFC">
        <w:t>,</w:t>
      </w:r>
      <w:r w:rsidR="00153D94">
        <w:t xml:space="preserve"> </w:t>
      </w:r>
      <w:r w:rsidR="00CC0D11">
        <w:t>nel</w:t>
      </w:r>
      <w:r w:rsidR="00C64AE9" w:rsidRPr="00153D94">
        <w:t>l’ipotesi che le pressioni al rialzo dei prezzi delle materie prime siano contenute nei prossimi mesi e in presenza di una stabilizzazione delle quotazioni del petrolio e del cambio, nel prossimo anno l’inflazione è attesa in parziale decelerazione</w:t>
      </w:r>
      <w:r>
        <w:t xml:space="preserve">. Secondo le indagini congiunturali della Commissione, l’inflazione generale sembra </w:t>
      </w:r>
      <w:r w:rsidR="00261F61">
        <w:t xml:space="preserve">comunque </w:t>
      </w:r>
      <w:r>
        <w:t>aver raggiunto il suo picco, iniziando a diminuire nel primo trimestre 2023, mentre l’inflazione di fondo</w:t>
      </w:r>
      <w:r w:rsidR="00C64AE9">
        <w:rPr>
          <w:rStyle w:val="Rimandonotaapidipagina"/>
        </w:rPr>
        <w:footnoteReference w:id="11"/>
      </w:r>
      <w:r>
        <w:t xml:space="preserve"> vi è probabilmente vicina. </w:t>
      </w:r>
    </w:p>
    <w:p w14:paraId="5BE6C112" w14:textId="2B5FA696" w:rsidR="00BE7834" w:rsidRDefault="00BE7834" w:rsidP="00BE7834">
      <w:pPr>
        <w:jc w:val="both"/>
      </w:pPr>
      <w:r>
        <w:t xml:space="preserve">Il divario tra salari e crescita dei prezzi è quindi destinato a ridursi, portando ad un rallentamento nella contrazione della disponibilità di reddito reale, mentre il Recovery and </w:t>
      </w:r>
      <w:proofErr w:type="spellStart"/>
      <w:r>
        <w:t>Resilience</w:t>
      </w:r>
      <w:proofErr w:type="spellEnd"/>
      <w:r>
        <w:t xml:space="preserve"> Facility (RRF) sosterrà gli investimenti nel corso dell’anno nonostante le condizioni di finanziamento divenute più rigide.  </w:t>
      </w:r>
    </w:p>
    <w:p w14:paraId="3E89C2EE" w14:textId="673BE06E" w:rsidR="00BE7834" w:rsidRDefault="00BE7834" w:rsidP="00BE7834">
      <w:pPr>
        <w:jc w:val="both"/>
      </w:pPr>
      <w:r>
        <w:t xml:space="preserve">Il calo dei prezzi delle materie prime energetiche registrato nei primi mesi del 2023, unitamente al rafforzamento </w:t>
      </w:r>
      <w:r w:rsidR="00C92AFC">
        <w:t>dell’euro</w:t>
      </w:r>
      <w:r>
        <w:t xml:space="preserve">, </w:t>
      </w:r>
      <w:r w:rsidR="00C92AFC">
        <w:t>dovrebbe proseguire determinando una</w:t>
      </w:r>
      <w:r w:rsidR="00EF1C81">
        <w:t xml:space="preserve"> riduzione del</w:t>
      </w:r>
      <w:r>
        <w:t>l’inflazione, specialmente quella energetica. Il continuo calo dei prezzi del petrolio dovrebbe portare l'inflazione dei carburanti per i trasporti in negativo nella prima metà del 2023, mentre il calo dei prezzi del gas all’ingrosso è destinato a favorire i consumi, riflettendosi direttamente sui prezzi al consumo. Anche l'inflazione dei prodotti alimentari e dei beni è destinata a rallentare, mentre quella dei servizi dovrebbe rimanere elevata, per poi diminuire solo gradualmente sostenuta dalla crescita dei salari.</w:t>
      </w:r>
    </w:p>
    <w:p w14:paraId="4607F3CF" w14:textId="69B92D78" w:rsidR="00BE7834" w:rsidRDefault="00BE7834" w:rsidP="00BE7834">
      <w:pPr>
        <w:jc w:val="both"/>
      </w:pPr>
      <w:r>
        <w:t xml:space="preserve">Secondo le previsioni, a partire da un dato </w:t>
      </w:r>
      <w:r w:rsidR="00CC0D11">
        <w:t xml:space="preserve">relativo all’inflazione </w:t>
      </w:r>
      <w:r>
        <w:t>del 10% registrato nell’</w:t>
      </w:r>
      <w:r w:rsidR="00261F61">
        <w:t>a</w:t>
      </w:r>
      <w:r>
        <w:t xml:space="preserve">rea Euro nell’ultimo trimestre 2022, l’inflazione complessiva dovrebbe </w:t>
      </w:r>
      <w:r w:rsidR="0058263A">
        <w:t xml:space="preserve">scendere alla fine del 2023 al </w:t>
      </w:r>
      <w:r>
        <w:t>3,2</w:t>
      </w:r>
      <w:r w:rsidR="009D5D94">
        <w:t>%.</w:t>
      </w:r>
      <w:r w:rsidR="0058263A">
        <w:t xml:space="preserve"> Il dato medio </w:t>
      </w:r>
      <w:r w:rsidR="00E64B32">
        <w:t>annuo passerebbe</w:t>
      </w:r>
      <w:r w:rsidR="0014032C">
        <w:t xml:space="preserve"> </w:t>
      </w:r>
      <w:r w:rsidR="0058263A">
        <w:t xml:space="preserve">quindi </w:t>
      </w:r>
      <w:r>
        <w:t>dall’8,4% del 2022 al 5,6%</w:t>
      </w:r>
      <w:r w:rsidR="0058263A">
        <w:t xml:space="preserve"> del 2023</w:t>
      </w:r>
      <w:r>
        <w:t xml:space="preserve">. </w:t>
      </w:r>
      <w:r w:rsidR="00C540D8" w:rsidRPr="00C540D8">
        <w:t xml:space="preserve">La sfida di contenere l'inflazione con le politiche restrittive </w:t>
      </w:r>
      <w:r w:rsidR="00C540D8">
        <w:t xml:space="preserve">resterà dunque una scelta obbligata nel corso del 2023 </w:t>
      </w:r>
      <w:r w:rsidR="00803121">
        <w:t xml:space="preserve">per tutte le economie </w:t>
      </w:r>
      <w:r w:rsidR="00C540D8">
        <w:t xml:space="preserve">ma dovrà essere contemperata dai </w:t>
      </w:r>
      <w:r w:rsidR="00C540D8" w:rsidRPr="00C540D8">
        <w:t>rischi di instabilità finanziaria</w:t>
      </w:r>
      <w:r w:rsidR="0014032C">
        <w:t>,</w:t>
      </w:r>
      <w:r w:rsidR="00C540D8">
        <w:t xml:space="preserve"> </w:t>
      </w:r>
      <w:r w:rsidR="00AE3244">
        <w:t xml:space="preserve">rischi </w:t>
      </w:r>
      <w:r w:rsidR="00C540D8">
        <w:t>che hanno cominciato</w:t>
      </w:r>
      <w:r w:rsidR="00803121">
        <w:t>,</w:t>
      </w:r>
      <w:r w:rsidR="00C540D8">
        <w:t xml:space="preserve"> peraltro</w:t>
      </w:r>
      <w:r w:rsidR="00803121">
        <w:t>,</w:t>
      </w:r>
      <w:r w:rsidR="00C540D8">
        <w:t xml:space="preserve"> a palesarsi a livello internazionale </w:t>
      </w:r>
      <w:r w:rsidR="00C540D8" w:rsidRPr="00C540D8">
        <w:t>co</w:t>
      </w:r>
      <w:r w:rsidR="00C540D8">
        <w:t>n la crisi di alcune</w:t>
      </w:r>
      <w:r w:rsidR="00C540D8" w:rsidRPr="00C540D8">
        <w:t xml:space="preserve"> banche californiane</w:t>
      </w:r>
      <w:r w:rsidR="00C540D8">
        <w:t xml:space="preserve"> nella prima metà di Marzo 2023.</w:t>
      </w:r>
    </w:p>
    <w:p w14:paraId="26CB27A4" w14:textId="77777777" w:rsidR="00BE7834" w:rsidRDefault="00BE7834" w:rsidP="00BE7834">
      <w:pPr>
        <w:jc w:val="both"/>
      </w:pPr>
    </w:p>
    <w:p w14:paraId="05F83A5D" w14:textId="1DDA2607" w:rsidR="0085456D" w:rsidRDefault="00BE7834" w:rsidP="00BE7834">
      <w:pPr>
        <w:jc w:val="both"/>
        <w:rPr>
          <w:b/>
          <w:bCs/>
        </w:rPr>
      </w:pPr>
      <w:r>
        <w:rPr>
          <w:b/>
          <w:bCs/>
        </w:rPr>
        <w:t>La situazione italiana 2022</w:t>
      </w:r>
    </w:p>
    <w:p w14:paraId="0C561EE8" w14:textId="1765EB9E" w:rsidR="00BE7834" w:rsidRDefault="00BE7834" w:rsidP="00BE7834">
      <w:pPr>
        <w:jc w:val="both"/>
      </w:pPr>
      <w:r>
        <w:t>Nonostante le criticità innescate dal conflitto in Ucraina, nel 202</w:t>
      </w:r>
      <w:r w:rsidR="0085456D">
        <w:t>2</w:t>
      </w:r>
      <w:r>
        <w:t xml:space="preserve"> l’economia italiana ha fatto registrare una crescita decisa</w:t>
      </w:r>
      <w:r w:rsidR="0058263A">
        <w:t xml:space="preserve"> del </w:t>
      </w:r>
      <w:r w:rsidR="005E0635">
        <w:t>Pil</w:t>
      </w:r>
      <w:r>
        <w:t xml:space="preserve"> </w:t>
      </w:r>
      <w:r w:rsidR="0058263A">
        <w:t>(+3,7%)</w:t>
      </w:r>
      <w:r w:rsidR="00596342">
        <w:t>,</w:t>
      </w:r>
      <w:r w:rsidR="0058263A">
        <w:t xml:space="preserve"> </w:t>
      </w:r>
      <w:r>
        <w:t>anche se inferiore rispetto a quella del 2021</w:t>
      </w:r>
      <w:r w:rsidR="00261F61">
        <w:t>.</w:t>
      </w:r>
      <w:r w:rsidR="0064039F" w:rsidRPr="0064039F">
        <w:t xml:space="preserve"> </w:t>
      </w:r>
      <w:r w:rsidR="0064039F">
        <w:t xml:space="preserve">A trascinare </w:t>
      </w:r>
      <w:r w:rsidR="0058263A">
        <w:t>l’aumento</w:t>
      </w:r>
      <w:r w:rsidR="0064039F">
        <w:t xml:space="preserve"> del P</w:t>
      </w:r>
      <w:r w:rsidR="0058263A">
        <w:t xml:space="preserve">rodotto Interno Lordo </w:t>
      </w:r>
      <w:r w:rsidR="0064039F">
        <w:t>è stata soprattutto la domanda nazionale al netto delle scorte, mentre la domanda estera e la variazione delle scorte hanno fornito contributi negativi.</w:t>
      </w:r>
      <w:r>
        <w:rPr>
          <w:rStyle w:val="Rimandonotaapidipagina"/>
        </w:rPr>
        <w:footnoteReference w:id="12"/>
      </w:r>
      <w:r>
        <w:t>.</w:t>
      </w:r>
    </w:p>
    <w:p w14:paraId="3F255F34" w14:textId="2F2FDACD" w:rsidR="00D76347" w:rsidRDefault="00897667" w:rsidP="00BE7834">
      <w:pPr>
        <w:jc w:val="both"/>
      </w:pPr>
      <w:r>
        <w:t xml:space="preserve">Tra </w:t>
      </w:r>
      <w:r w:rsidR="0014032C">
        <w:t xml:space="preserve">I </w:t>
      </w:r>
      <w:r>
        <w:t>settori</w:t>
      </w:r>
      <w:r w:rsidR="0058263A">
        <w:t xml:space="preserve"> trainant</w:t>
      </w:r>
      <w:r w:rsidR="00153D94">
        <w:t>i</w:t>
      </w:r>
      <w:r w:rsidR="0058263A">
        <w:t xml:space="preserve"> si segnala </w:t>
      </w:r>
      <w:r w:rsidR="00BE7834">
        <w:t xml:space="preserve">soprattutto </w:t>
      </w:r>
      <w:r w:rsidR="0014032C">
        <w:t>quello</w:t>
      </w:r>
      <w:r w:rsidR="00BE7834">
        <w:t xml:space="preserve"> delle costruzioni, che </w:t>
      </w:r>
      <w:r w:rsidR="00F5056A">
        <w:t xml:space="preserve">ha </w:t>
      </w:r>
      <w:r w:rsidR="00BE7834">
        <w:t>fa</w:t>
      </w:r>
      <w:r w:rsidR="00F5056A">
        <w:t>tto</w:t>
      </w:r>
      <w:r w:rsidR="00BE7834">
        <w:t xml:space="preserve"> registrare un incremento del 10,2%, a fronte di una </w:t>
      </w:r>
      <w:r w:rsidR="00F5056A">
        <w:t>minima</w:t>
      </w:r>
      <w:r w:rsidR="00BE7834">
        <w:t xml:space="preserve"> variazione negativa osservata per l’industria in senso stretto (-0,1%). Una </w:t>
      </w:r>
      <w:r w:rsidR="00BE7834">
        <w:lastRenderedPageBreak/>
        <w:t xml:space="preserve">dinamica espansiva si </w:t>
      </w:r>
      <w:r w:rsidR="00F5056A">
        <w:t xml:space="preserve">è </w:t>
      </w:r>
      <w:r w:rsidR="00BE7834">
        <w:t>osserva</w:t>
      </w:r>
      <w:r w:rsidR="00F5056A">
        <w:t>ta</w:t>
      </w:r>
      <w:r w:rsidR="00BE7834">
        <w:t xml:space="preserve"> anche per i servizi (+4,8%), in particolare per le componenti </w:t>
      </w:r>
      <w:r w:rsidR="0081182B">
        <w:t xml:space="preserve">più </w:t>
      </w:r>
      <w:r>
        <w:t>tradizionali come</w:t>
      </w:r>
      <w:r w:rsidR="00BE7834">
        <w:t xml:space="preserve"> il commercio all’ingrosso e al dettaglio, la riparazione di autoveicoli e motocicli, il trasporto e magazzinaggio, i servizi di alloggio e quelli di ristorazione (+10,4%). </w:t>
      </w:r>
    </w:p>
    <w:p w14:paraId="2099FF28" w14:textId="4F48BDE1" w:rsidR="00BE7834" w:rsidRDefault="00BE7834" w:rsidP="00BE7834">
      <w:pPr>
        <w:jc w:val="both"/>
      </w:pPr>
      <w:r>
        <w:t>In generale, tutte le componenti dei servizi hanno mostrato variazioni positive</w:t>
      </w:r>
      <w:r w:rsidR="00897667">
        <w:t>,</w:t>
      </w:r>
      <w:r w:rsidR="00F5056A">
        <w:t xml:space="preserve"> comprese </w:t>
      </w:r>
      <w:r w:rsidR="00CC0D11">
        <w:t>quindi</w:t>
      </w:r>
      <w:r w:rsidR="00F5056A">
        <w:t xml:space="preserve"> anche le attività artistiche, di intrattenimento e divertimento</w:t>
      </w:r>
      <w:r>
        <w:t>.</w:t>
      </w:r>
    </w:p>
    <w:p w14:paraId="1A599228" w14:textId="3E121124" w:rsidR="00F5056A" w:rsidRDefault="0081182B" w:rsidP="00BE7834">
      <w:pPr>
        <w:jc w:val="both"/>
      </w:pPr>
      <w:r>
        <w:t>Nonostante</w:t>
      </w:r>
      <w:r w:rsidR="00BE7834">
        <w:t xml:space="preserve"> </w:t>
      </w:r>
      <w:r>
        <w:t>l’</w:t>
      </w:r>
      <w:r w:rsidR="00BE7834">
        <w:t xml:space="preserve">aumento complessivo del Pil, nel 2022 si è comunque registrato un peggioramento nella ragione di scambio con l’estero, risultante da una crescita del deflatore delle esportazioni di beni e servizi sensibilmente inferiore (+10,9%) rispetto al deflatore delle importazioni (+21,5%), trainato dalla fortissima spinta verso l’alto dei prezzi dell’energia. </w:t>
      </w:r>
    </w:p>
    <w:p w14:paraId="496DF8DC" w14:textId="548D9E77" w:rsidR="00F5056A" w:rsidRDefault="00261F61" w:rsidP="00F5056A">
      <w:pPr>
        <w:jc w:val="both"/>
      </w:pPr>
      <w:r>
        <w:t>Osservando gli andamenti trimestrali</w:t>
      </w:r>
      <w:r w:rsidR="00C12CF3">
        <w:t>,</w:t>
      </w:r>
      <w:r>
        <w:t xml:space="preserve"> emerge n</w:t>
      </w:r>
      <w:r w:rsidR="00F5056A">
        <w:t xml:space="preserve">el primo trimestre 2022 </w:t>
      </w:r>
      <w:r w:rsidR="00326CC9">
        <w:t xml:space="preserve">un </w:t>
      </w:r>
      <w:r w:rsidR="00F5056A">
        <w:t>incremento</w:t>
      </w:r>
      <w:r w:rsidR="002916CA">
        <w:t xml:space="preserve"> </w:t>
      </w:r>
      <w:r w:rsidR="00F5056A">
        <w:t>del Pil tendenziale</w:t>
      </w:r>
      <w:r w:rsidR="0081182B">
        <w:t xml:space="preserve"> molto elevato </w:t>
      </w:r>
      <w:r w:rsidR="005B33FA">
        <w:t>(</w:t>
      </w:r>
      <w:r w:rsidR="0081182B">
        <w:t>+</w:t>
      </w:r>
      <w:r w:rsidR="00F5056A">
        <w:t xml:space="preserve"> 6,2%</w:t>
      </w:r>
      <w:r w:rsidR="005B33FA">
        <w:t>)</w:t>
      </w:r>
      <w:r w:rsidR="00917856">
        <w:t>,</w:t>
      </w:r>
      <w:r w:rsidR="00F5056A">
        <w:t xml:space="preserve"> </w:t>
      </w:r>
      <w:r w:rsidR="0081182B">
        <w:t xml:space="preserve">con un dato </w:t>
      </w:r>
      <w:r w:rsidR="00F5056A">
        <w:t>in linea con l’andamento già osservato nella parte finale del 2021</w:t>
      </w:r>
      <w:r w:rsidR="00404F33">
        <w:t xml:space="preserve"> e</w:t>
      </w:r>
      <w:r w:rsidR="00F5056A">
        <w:t xml:space="preserve"> sulla scia della dinamica espansiva e di recupero determinata dalla progressiva ripresa a pieno regime dell’attività economica. </w:t>
      </w:r>
    </w:p>
    <w:p w14:paraId="00260C83" w14:textId="476336CF" w:rsidR="00F5056A" w:rsidRDefault="00F5056A" w:rsidP="00F5056A">
      <w:pPr>
        <w:jc w:val="both"/>
      </w:pPr>
      <w:r>
        <w:t>Nel secondo trimestre, nonostante l’</w:t>
      </w:r>
      <w:r w:rsidR="00261F61">
        <w:t>irruzione</w:t>
      </w:r>
      <w:r>
        <w:t xml:space="preserve"> delle criticità innescate dal conflitto tra Russia e Ucraina, tutti i principali aggregati della domanda interna sono apparsi </w:t>
      </w:r>
      <w:r w:rsidR="0081182B">
        <w:t xml:space="preserve">ancora </w:t>
      </w:r>
      <w:r>
        <w:t>in aumento, così come le importazioni e le esportazioni</w:t>
      </w:r>
      <w:r w:rsidR="00121C24">
        <w:t>, con</w:t>
      </w:r>
      <w:r>
        <w:t xml:space="preserve"> </w:t>
      </w:r>
      <w:r w:rsidR="00121C24">
        <w:t>i</w:t>
      </w:r>
      <w:r>
        <w:t xml:space="preserve">l Pil </w:t>
      </w:r>
      <w:r w:rsidR="00032F9F">
        <w:t>c</w:t>
      </w:r>
      <w:r>
        <w:t>h</w:t>
      </w:r>
      <w:r w:rsidR="00032F9F">
        <w:t>e ha</w:t>
      </w:r>
      <w:r>
        <w:t xml:space="preserve"> subito una variazione positiva dell’1,1% in termini congiunturali e del 4,7% in termini tendenziali. </w:t>
      </w:r>
    </w:p>
    <w:p w14:paraId="4EBAABD2" w14:textId="26C00DE5" w:rsidR="00F5056A" w:rsidRDefault="00F5056A" w:rsidP="00F5056A">
      <w:pPr>
        <w:jc w:val="both"/>
      </w:pPr>
      <w:r>
        <w:t>Nel terzo trimestre 2022</w:t>
      </w:r>
      <w:r w:rsidR="00DE22D3">
        <w:t>,</w:t>
      </w:r>
      <w:r>
        <w:t xml:space="preserve"> la variazione positiva tendenziale del Pil registrata nei trimestri </w:t>
      </w:r>
      <w:r w:rsidR="009119FE">
        <w:t xml:space="preserve">precedenti </w:t>
      </w:r>
      <w:r>
        <w:t xml:space="preserve">è andata sempre più assottigliandosi, fermandosi al 2,6%, a fronte di una crescita congiunturale dello 0,5%. Oltre all’ulteriore espansione osservata per i principali aggregati della domanda interna, per le importazioni e (anche se in minor misura) per le esportazioni, è cresciuto per il sesto trimestre consecutivo il valore aggiunto dei servizi, soprattutto per l’apporto dei settori del commercio, trasporto, alloggio e ristorazione. </w:t>
      </w:r>
    </w:p>
    <w:p w14:paraId="6A5E73E6" w14:textId="1E142F5E" w:rsidR="00F5056A" w:rsidRDefault="00F5056A" w:rsidP="00F5056A">
      <w:pPr>
        <w:jc w:val="both"/>
      </w:pPr>
      <w:r w:rsidRPr="00404F33">
        <w:t xml:space="preserve">Nel quarto trimestre 2022, dopo sette trimestri consecutivi di crescita e con il raggiungimento del picco nel livello di inflazione generale, il Pil italiano ha sperimentato una lieve variazione congiunturale negativa (-0,1%), e una variazione tendenziale </w:t>
      </w:r>
      <w:r w:rsidR="00261F61">
        <w:t xml:space="preserve">ancora </w:t>
      </w:r>
      <w:r w:rsidRPr="00404F33">
        <w:t xml:space="preserve">positiva </w:t>
      </w:r>
      <w:r w:rsidR="00261F61">
        <w:t xml:space="preserve">ma </w:t>
      </w:r>
      <w:r w:rsidRPr="00404F33">
        <w:t>più contenuta rispetto ai trimestri precedenti (+1,7%)</w:t>
      </w:r>
      <w:r w:rsidRPr="00404F33">
        <w:rPr>
          <w:rStyle w:val="Rimandonotaapidipagina"/>
        </w:rPr>
        <w:footnoteReference w:id="13"/>
      </w:r>
      <w:r w:rsidRPr="00404F33">
        <w:t xml:space="preserve">. </w:t>
      </w:r>
    </w:p>
    <w:p w14:paraId="6FB22133" w14:textId="77777777" w:rsidR="00F5056A" w:rsidRDefault="00F5056A" w:rsidP="00BE7834">
      <w:pPr>
        <w:jc w:val="both"/>
      </w:pPr>
    </w:p>
    <w:p w14:paraId="2883C129" w14:textId="3A62750E" w:rsidR="00F5056A" w:rsidRPr="00DE22D3" w:rsidRDefault="00BE7834" w:rsidP="00BE7834">
      <w:pPr>
        <w:jc w:val="both"/>
        <w:rPr>
          <w:b/>
          <w:bCs/>
        </w:rPr>
      </w:pPr>
      <w:r>
        <w:rPr>
          <w:b/>
          <w:bCs/>
        </w:rPr>
        <w:t xml:space="preserve">L’Italia nel 2023 </w:t>
      </w:r>
    </w:p>
    <w:p w14:paraId="1607F5FD" w14:textId="1ADEE100" w:rsidR="00BE7834" w:rsidRDefault="00BE7834" w:rsidP="009119FE">
      <w:pPr>
        <w:jc w:val="both"/>
      </w:pPr>
      <w:r>
        <w:t xml:space="preserve">Tutti gli osservatori </w:t>
      </w:r>
      <w:r w:rsidR="00D76347">
        <w:t xml:space="preserve">ed i centri di ricerca </w:t>
      </w:r>
      <w:r>
        <w:t>prev</w:t>
      </w:r>
      <w:r w:rsidR="00D76347">
        <w:t>edono</w:t>
      </w:r>
      <w:r>
        <w:t xml:space="preserve"> per il 2023 una crescita del Pil italiano in termini reali decisamente più </w:t>
      </w:r>
      <w:r w:rsidR="00261F61">
        <w:t>ridotta</w:t>
      </w:r>
      <w:r>
        <w:t xml:space="preserve"> rispetto all’espansione osservata nel 2022. </w:t>
      </w:r>
    </w:p>
    <w:p w14:paraId="4A74AAE6" w14:textId="1E76A02E" w:rsidR="00BE7834" w:rsidRDefault="00BE7834" w:rsidP="00BE7834">
      <w:pPr>
        <w:jc w:val="both"/>
      </w:pPr>
      <w:r>
        <w:t>L</w:t>
      </w:r>
      <w:r w:rsidR="00F5056A">
        <w:t xml:space="preserve">e ultime previsioni di </w:t>
      </w:r>
      <w:r>
        <w:t xml:space="preserve">crescita del </w:t>
      </w:r>
      <w:r w:rsidR="00DE22D3">
        <w:t>P</w:t>
      </w:r>
      <w:r w:rsidR="00507C19">
        <w:t>il</w:t>
      </w:r>
      <w:r>
        <w:t xml:space="preserve"> italiano in termini reali, stimat</w:t>
      </w:r>
      <w:r w:rsidR="00F5056A">
        <w:t>e</w:t>
      </w:r>
      <w:r>
        <w:t xml:space="preserve"> nel mese di febbraio 2023 dalla Commissione Europea</w:t>
      </w:r>
      <w:r w:rsidR="001A502A">
        <w:t>,</w:t>
      </w:r>
      <w:r>
        <w:t xml:space="preserve"> </w:t>
      </w:r>
      <w:r w:rsidR="00F5056A">
        <w:t xml:space="preserve">indicano un aumento </w:t>
      </w:r>
      <w:r>
        <w:t>del +0,8%, con un’espansione leggermente più marcata nel 2024 (+1,0%)</w:t>
      </w:r>
      <w:r>
        <w:rPr>
          <w:rStyle w:val="Rimandonotaapidipagina"/>
        </w:rPr>
        <w:footnoteReference w:id="14"/>
      </w:r>
      <w:r>
        <w:t xml:space="preserve">. </w:t>
      </w:r>
    </w:p>
    <w:p w14:paraId="48525ABC" w14:textId="1C9A93BC" w:rsidR="00F5056A" w:rsidRDefault="00005169" w:rsidP="00BE7834">
      <w:pPr>
        <w:jc w:val="both"/>
      </w:pPr>
      <w:r>
        <w:t>S</w:t>
      </w:r>
      <w:r w:rsidR="00BE7834">
        <w:t xml:space="preserve">econdo la Commissione nella seconda metà dell’anno accelereranno gli investimenti, specialmente grazie ai progetti di </w:t>
      </w:r>
      <w:r w:rsidR="009119FE">
        <w:t>spesa</w:t>
      </w:r>
      <w:r w:rsidR="00BE7834">
        <w:t xml:space="preserve"> pubblic</w:t>
      </w:r>
      <w:r w:rsidR="009119FE">
        <w:t>a</w:t>
      </w:r>
      <w:r w:rsidR="00BE7834">
        <w:t xml:space="preserve"> del PNRR, mentre in parallelo riprenderà a crescere la spesa per i consumi. </w:t>
      </w:r>
    </w:p>
    <w:p w14:paraId="78CD1809" w14:textId="50C24809" w:rsidR="00BE7834" w:rsidRDefault="00BE7834" w:rsidP="00BE7834">
      <w:pPr>
        <w:jc w:val="both"/>
      </w:pPr>
      <w:r>
        <w:lastRenderedPageBreak/>
        <w:t xml:space="preserve">Le esportazioni nette dovrebbero effettivamente influire negativamente sul Pil fino al 2024, quando quelle relative a beni e servizi beneficeranno del miglioramento nelle prospettive del commercio internazionale e dei flussi turistici in elevato aumento. </w:t>
      </w:r>
    </w:p>
    <w:p w14:paraId="6F201358" w14:textId="49E4F720" w:rsidR="00BE7834" w:rsidRDefault="00F5056A" w:rsidP="00BE7834">
      <w:pPr>
        <w:jc w:val="both"/>
      </w:pPr>
      <w:r>
        <w:t>L</w:t>
      </w:r>
      <w:r w:rsidR="00BE7834">
        <w:t xml:space="preserve">’inflazione generale </w:t>
      </w:r>
      <w:r>
        <w:t xml:space="preserve">ha </w:t>
      </w:r>
      <w:r w:rsidR="00BE7834">
        <w:t xml:space="preserve">raggiunto </w:t>
      </w:r>
      <w:r>
        <w:t xml:space="preserve">un picco </w:t>
      </w:r>
      <w:r w:rsidR="00BE7834">
        <w:t>nel quarto trimestre 2022</w:t>
      </w:r>
      <w:r w:rsidR="00D1446A">
        <w:t>,</w:t>
      </w:r>
      <w:r w:rsidR="00BE7834">
        <w:t xml:space="preserve"> </w:t>
      </w:r>
      <w:r>
        <w:t xml:space="preserve">mentre </w:t>
      </w:r>
      <w:r w:rsidR="00BE7834">
        <w:t xml:space="preserve">i prezzi delle materie prime energetiche </w:t>
      </w:r>
      <w:r>
        <w:t xml:space="preserve">alla fine del periodo </w:t>
      </w:r>
      <w:r w:rsidR="00BE7834">
        <w:t>sono in gran parte tornati ai livelli del 2021</w:t>
      </w:r>
      <w:r>
        <w:t>. Gl</w:t>
      </w:r>
      <w:r w:rsidR="009119FE">
        <w:t>i</w:t>
      </w:r>
      <w:r>
        <w:t xml:space="preserve"> aumenti </w:t>
      </w:r>
      <w:r w:rsidR="00BE7834">
        <w:t>precedent</w:t>
      </w:r>
      <w:r>
        <w:t xml:space="preserve">i hanno però </w:t>
      </w:r>
      <w:r w:rsidR="00BE7834">
        <w:t xml:space="preserve">influenzato i prezzi dei prodotti alimentari, dei beni industriali e dei servizi. L’inflazione </w:t>
      </w:r>
      <w:r w:rsidR="007B689B">
        <w:t xml:space="preserve">sarà ancora </w:t>
      </w:r>
      <w:r w:rsidR="00BE7834">
        <w:t>molto elevata anche all’inizio del 2023</w:t>
      </w:r>
      <w:r w:rsidR="007B689B">
        <w:t xml:space="preserve"> e</w:t>
      </w:r>
      <w:r w:rsidR="00BE7834">
        <w:t xml:space="preserve"> subirà un rallentamento nel corso dell’anno consentendo all’Italia di far registrare un tasso annuo di poco superiore al 6%. </w:t>
      </w:r>
    </w:p>
    <w:p w14:paraId="5D526813" w14:textId="173516E1" w:rsidR="00D76347" w:rsidRDefault="00D1446A" w:rsidP="00BE7834">
      <w:pPr>
        <w:jc w:val="both"/>
      </w:pPr>
      <w:r>
        <w:t>A Gennaio 2023, l</w:t>
      </w:r>
      <w:r w:rsidR="00BE7834">
        <w:t xml:space="preserve">a Banca d’Italia </w:t>
      </w:r>
      <w:r w:rsidR="009119FE">
        <w:t>ha</w:t>
      </w:r>
      <w:r w:rsidR="00BE7834">
        <w:t xml:space="preserve"> previsto per </w:t>
      </w:r>
      <w:r w:rsidR="009119FE">
        <w:t>il resto dell’anno</w:t>
      </w:r>
      <w:r w:rsidR="00BE7834">
        <w:t xml:space="preserve"> una crescita del Pil al +0,6%</w:t>
      </w:r>
      <w:r w:rsidR="00BE7834">
        <w:rPr>
          <w:rStyle w:val="Rimandonotaapidipagina"/>
        </w:rPr>
        <w:footnoteReference w:id="15"/>
      </w:r>
      <w:r w:rsidR="00BE7834">
        <w:t xml:space="preserve"> (maggiore rispetto a quella ipotizzata dall’Istat alla fine del 2022</w:t>
      </w:r>
      <w:r w:rsidR="0004663D">
        <w:t>,</w:t>
      </w:r>
      <w:r w:rsidR="009119FE">
        <w:t xml:space="preserve"> che indicava +0,4%</w:t>
      </w:r>
      <w:r w:rsidR="0042412D">
        <w:t>,</w:t>
      </w:r>
      <w:r w:rsidR="009119FE">
        <w:t xml:space="preserve"> inferi</w:t>
      </w:r>
      <w:r w:rsidR="007B689B">
        <w:t>o</w:t>
      </w:r>
      <w:r w:rsidR="009119FE">
        <w:t>re alle ipotesi della Commissione Europea</w:t>
      </w:r>
      <w:r w:rsidR="00BE7834">
        <w:t xml:space="preserve">), </w:t>
      </w:r>
      <w:r w:rsidR="009119FE">
        <w:t>ma ha</w:t>
      </w:r>
      <w:r w:rsidR="00BE7834">
        <w:t xml:space="preserve"> sottolineato come le proiezioni siano soggette ad un’incertezza elevata, associata all’andamento dei prezzi e alla disponibilità di materie prime, all’evoluzione del commercio internazionale e alle ripercussioni della fase di restrizione monetaria a livello globale. </w:t>
      </w:r>
    </w:p>
    <w:p w14:paraId="7B3180C2" w14:textId="75AF001D" w:rsidR="00D76347" w:rsidRDefault="00BE7834" w:rsidP="00BE7834">
      <w:pPr>
        <w:jc w:val="both"/>
      </w:pPr>
      <w:r>
        <w:t>Gli sviluppi del conflitto in Ucraina, in uno scenario particolarmente avverso</w:t>
      </w:r>
      <w:r w:rsidR="00095E5C">
        <w:rPr>
          <w:rStyle w:val="Rimandonotaapidipagina"/>
        </w:rPr>
        <w:footnoteReference w:id="16"/>
      </w:r>
      <w:r>
        <w:t>, potrebbero</w:t>
      </w:r>
      <w:r w:rsidR="00980DCA">
        <w:t xml:space="preserve">, </w:t>
      </w:r>
      <w:r w:rsidR="00E64B32">
        <w:t>peraltro, ancora</w:t>
      </w:r>
      <w:r>
        <w:t xml:space="preserve"> influire in modo estremamente negativo sull’economia italiana. Ad esempio, nel caso dell’interruzione permanente delle forniture di energia all’Europa dalla Russia, la minore offerta di gas naturale determinerebbe in primo luogo un forte aumento delle quotazioni delle materie prime energetiche, a cui si accompagnerebbero una maggiore incertezza e un marcato indebolimento del commercio mondiale. </w:t>
      </w:r>
    </w:p>
    <w:p w14:paraId="6E0FF137" w14:textId="4B26CA47" w:rsidR="00BE7834" w:rsidRDefault="00BE7834" w:rsidP="00BE7834">
      <w:pPr>
        <w:jc w:val="both"/>
      </w:pPr>
      <w:r>
        <w:t xml:space="preserve">Tali sviluppi potrebbero portare ad un deterioramento dall’attività economica e ad un più accentuato inasprimento delle condizioni di finanziamento. In uno scenario simile, l’inflazione al consumo potrebbe salire ulteriormente, mentre il Pil potrebbe sperimentare una riduzione </w:t>
      </w:r>
      <w:r w:rsidR="007B689B">
        <w:t>attorno a</w:t>
      </w:r>
      <w:r>
        <w:t>l -1% sia per il 2023 che per il 2024</w:t>
      </w:r>
      <w:r>
        <w:rPr>
          <w:rStyle w:val="Rimandonotaapidipagina"/>
        </w:rPr>
        <w:footnoteReference w:id="17"/>
      </w:r>
      <w:r>
        <w:t xml:space="preserve">. </w:t>
      </w:r>
    </w:p>
    <w:p w14:paraId="42608A06" w14:textId="0AE30AC5" w:rsidR="008F062E" w:rsidRDefault="00AE3244" w:rsidP="00803121">
      <w:pPr>
        <w:jc w:val="both"/>
      </w:pPr>
      <w:r w:rsidRPr="00803121">
        <w:t>Rispetto a</w:t>
      </w:r>
      <w:r w:rsidR="00803121">
        <w:t>gli ultimi andamenti</w:t>
      </w:r>
      <w:r w:rsidR="00980DCA">
        <w:t>,</w:t>
      </w:r>
      <w:r w:rsidRPr="00803121">
        <w:t xml:space="preserve"> il calo della produzione industriale a Gennaio 2023, rilevata a metà marzo da Istat</w:t>
      </w:r>
      <w:r w:rsidRPr="00803121">
        <w:rPr>
          <w:sz w:val="20"/>
          <w:szCs w:val="20"/>
          <w:vertAlign w:val="superscript"/>
        </w:rPr>
        <w:footnoteReference w:id="18"/>
      </w:r>
      <w:r w:rsidRPr="00803121">
        <w:t xml:space="preserve">  (-0,7%), non d</w:t>
      </w:r>
      <w:r w:rsidR="00803121">
        <w:t>à</w:t>
      </w:r>
      <w:r w:rsidRPr="00803121">
        <w:t xml:space="preserve"> una indicazione incoraggiante</w:t>
      </w:r>
      <w:r w:rsidR="00803121">
        <w:t xml:space="preserve"> sull’evoluzione se si guarda soprattutto alla</w:t>
      </w:r>
      <w:r w:rsidRPr="00803121">
        <w:t xml:space="preserve"> flessione</w:t>
      </w:r>
      <w:r w:rsidRPr="0014032C">
        <w:t xml:space="preserve"> dei beni intermedi e </w:t>
      </w:r>
      <w:r w:rsidR="00803121" w:rsidRPr="0014032C">
        <w:t xml:space="preserve">di </w:t>
      </w:r>
      <w:r w:rsidRPr="0014032C">
        <w:t>quelli strumentali</w:t>
      </w:r>
      <w:r w:rsidRPr="00803121">
        <w:rPr>
          <w:i/>
          <w:iCs/>
        </w:rPr>
        <w:t xml:space="preserve">.  </w:t>
      </w:r>
      <w:r w:rsidRPr="00803121">
        <w:t xml:space="preserve">Rispetto alla capacità di ripresa permane </w:t>
      </w:r>
      <w:r w:rsidR="00803121">
        <w:t xml:space="preserve">però </w:t>
      </w:r>
      <w:r w:rsidRPr="00803121">
        <w:t xml:space="preserve">la spinta delle </w:t>
      </w:r>
      <w:r w:rsidR="00E64B32" w:rsidRPr="00803121">
        <w:t xml:space="preserve">famiglie </w:t>
      </w:r>
      <w:r w:rsidR="00E64B32" w:rsidRPr="008F062E">
        <w:t>grazie</w:t>
      </w:r>
      <w:r w:rsidR="00803121" w:rsidRPr="008F062E">
        <w:t xml:space="preserve"> allo </w:t>
      </w:r>
      <w:r w:rsidR="00803121" w:rsidRPr="00803121">
        <w:t>smobilizzo del risparmio accumulato</w:t>
      </w:r>
      <w:r w:rsidR="00803121">
        <w:t xml:space="preserve"> </w:t>
      </w:r>
      <w:r w:rsidR="00980DCA">
        <w:t xml:space="preserve">tanto che </w:t>
      </w:r>
      <w:r w:rsidR="00803121" w:rsidRPr="008F062E">
        <w:t xml:space="preserve">a Gennaio </w:t>
      </w:r>
      <w:proofErr w:type="gramStart"/>
      <w:r w:rsidR="00803121" w:rsidRPr="008F062E">
        <w:t xml:space="preserve">2023 </w:t>
      </w:r>
      <w:r w:rsidRPr="008F062E">
        <w:t xml:space="preserve"> </w:t>
      </w:r>
      <w:r w:rsidR="00803121" w:rsidRPr="008F062E">
        <w:t>si</w:t>
      </w:r>
      <w:proofErr w:type="gramEnd"/>
      <w:r w:rsidR="00803121" w:rsidRPr="008F062E">
        <w:t xml:space="preserve"> è registrata </w:t>
      </w:r>
      <w:r w:rsidR="00803121">
        <w:t>una dinamica mensile positiva per le industrie dei beni di consumo.</w:t>
      </w:r>
    </w:p>
    <w:p w14:paraId="00310CE3" w14:textId="409C435F" w:rsidR="008F062E" w:rsidRPr="00980DCA" w:rsidRDefault="00803121" w:rsidP="00803121">
      <w:pPr>
        <w:jc w:val="both"/>
      </w:pPr>
      <w:r>
        <w:t xml:space="preserve">Valgono naturalmente anche per l’Italia le cautele legate alla instabilità finanziaria </w:t>
      </w:r>
      <w:r w:rsidR="008F062E">
        <w:t xml:space="preserve">crescente,  resasi evidente </w:t>
      </w:r>
      <w:r w:rsidR="00AB4E65">
        <w:t xml:space="preserve">già </w:t>
      </w:r>
      <w:r w:rsidR="008F062E">
        <w:t xml:space="preserve">a </w:t>
      </w:r>
      <w:r w:rsidR="000A211A">
        <w:t xml:space="preserve">inizio </w:t>
      </w:r>
      <w:r w:rsidR="008F062E">
        <w:t xml:space="preserve">Marzo 2023,  alimentata </w:t>
      </w:r>
      <w:r>
        <w:t>da</w:t>
      </w:r>
      <w:r w:rsidR="008F062E">
        <w:t>lle</w:t>
      </w:r>
      <w:r>
        <w:t xml:space="preserve"> </w:t>
      </w:r>
      <w:r w:rsidRPr="00C540D8">
        <w:t>politiche restrittive</w:t>
      </w:r>
      <w:r>
        <w:t xml:space="preserve"> </w:t>
      </w:r>
      <w:r w:rsidR="00AB4E65">
        <w:t>de</w:t>
      </w:r>
      <w:r w:rsidR="008F062E">
        <w:t>ll</w:t>
      </w:r>
      <w:r w:rsidR="00AB4E65">
        <w:t xml:space="preserve">e </w:t>
      </w:r>
      <w:r w:rsidR="008F062E">
        <w:t>autorità monetari</w:t>
      </w:r>
      <w:r w:rsidR="00AB4E65">
        <w:t>e</w:t>
      </w:r>
      <w:r w:rsidR="008F062E">
        <w:t xml:space="preserve"> </w:t>
      </w:r>
      <w:r w:rsidR="008F062E" w:rsidRPr="008F062E">
        <w:t xml:space="preserve">per </w:t>
      </w:r>
      <w:r w:rsidRPr="008F062E">
        <w:t>combattere le pressioni inflazionistiche</w:t>
      </w:r>
      <w:r w:rsidR="00980DCA">
        <w:t xml:space="preserve">. L’emergere di queste nuove dinamiche </w:t>
      </w:r>
      <w:r w:rsidR="00980DCA" w:rsidRPr="00980DCA">
        <w:t>inizia a profilare</w:t>
      </w:r>
      <w:r w:rsidR="00980DCA">
        <w:t xml:space="preserve">, anche per l’Italia, </w:t>
      </w:r>
      <w:r w:rsidR="00980DCA" w:rsidRPr="00980DCA">
        <w:t>un percorso di rientro dell’inflazione più lungo di quanto inizialmente previsto.</w:t>
      </w:r>
    </w:p>
    <w:p w14:paraId="1CD461EB" w14:textId="6DCD833F" w:rsidR="00803121" w:rsidRDefault="00803121" w:rsidP="00803121">
      <w:pPr>
        <w:jc w:val="both"/>
      </w:pPr>
      <w:r>
        <w:rPr>
          <w:rFonts w:ascii="Georgia" w:hAnsi="Georgia"/>
          <w:color w:val="000000"/>
          <w:sz w:val="20"/>
          <w:szCs w:val="20"/>
          <w:shd w:val="clear" w:color="auto" w:fill="FFFFFF"/>
        </w:rPr>
        <w:t xml:space="preserve"> </w:t>
      </w:r>
      <w:r>
        <w:rPr>
          <w:rFonts w:ascii="Georgia" w:hAnsi="Georgia"/>
          <w:color w:val="000000"/>
          <w:sz w:val="20"/>
          <w:szCs w:val="20"/>
        </w:rPr>
        <w:br/>
      </w:r>
      <w:r>
        <w:rPr>
          <w:rFonts w:ascii="Georgia" w:hAnsi="Georgia"/>
          <w:color w:val="000000"/>
          <w:sz w:val="20"/>
          <w:szCs w:val="20"/>
        </w:rPr>
        <w:br/>
      </w:r>
    </w:p>
    <w:p w14:paraId="5BDAFD98" w14:textId="1ABD38B5" w:rsidR="00BE7834" w:rsidRDefault="00803121" w:rsidP="00803121">
      <w:pPr>
        <w:jc w:val="both"/>
        <w:rPr>
          <w:b/>
          <w:bCs/>
        </w:rPr>
        <w:sectPr w:rsidR="00BE7834">
          <w:headerReference w:type="default" r:id="rId8"/>
          <w:footerReference w:type="default" r:id="rId9"/>
          <w:pgSz w:w="11906" w:h="16838"/>
          <w:pgMar w:top="1417" w:right="1134" w:bottom="1134" w:left="1134" w:header="708" w:footer="708" w:gutter="0"/>
          <w:cols w:space="708"/>
          <w:docGrid w:linePitch="360"/>
        </w:sectPr>
      </w:pPr>
      <w:r>
        <w:rPr>
          <w:b/>
          <w:bCs/>
        </w:rPr>
        <w:t xml:space="preserve"> </w:t>
      </w:r>
    </w:p>
    <w:p w14:paraId="1AF720B0" w14:textId="6845533B" w:rsidR="00390597" w:rsidRDefault="004D2CCF" w:rsidP="00390597">
      <w:pPr>
        <w:jc w:val="both"/>
        <w:rPr>
          <w:b/>
          <w:bCs/>
        </w:rPr>
      </w:pPr>
      <w:r>
        <w:rPr>
          <w:b/>
          <w:bCs/>
        </w:rPr>
        <w:lastRenderedPageBreak/>
        <w:t xml:space="preserve">Il Mercato del </w:t>
      </w:r>
      <w:r w:rsidRPr="00A41A13">
        <w:rPr>
          <w:b/>
          <w:bCs/>
        </w:rPr>
        <w:t>Lavoro</w:t>
      </w:r>
    </w:p>
    <w:p w14:paraId="4696ED8D" w14:textId="77777777" w:rsidR="00EE4365" w:rsidRPr="00EE4365" w:rsidRDefault="00EE4365" w:rsidP="00390597">
      <w:pPr>
        <w:jc w:val="both"/>
        <w:rPr>
          <w:b/>
          <w:bCs/>
        </w:rPr>
      </w:pPr>
    </w:p>
    <w:p w14:paraId="1B1BF6FA" w14:textId="43F5E741" w:rsidR="00FA4329" w:rsidRPr="00EE4365" w:rsidRDefault="004D2CCF" w:rsidP="00FA4329">
      <w:pPr>
        <w:jc w:val="both"/>
        <w:rPr>
          <w:i/>
          <w:iCs/>
        </w:rPr>
      </w:pPr>
      <w:r w:rsidRPr="00EE4365">
        <w:rPr>
          <w:i/>
          <w:iCs/>
        </w:rPr>
        <w:t>L’andamento del 202</w:t>
      </w:r>
      <w:r w:rsidR="00D952C9" w:rsidRPr="00EE4365">
        <w:rPr>
          <w:i/>
          <w:iCs/>
        </w:rPr>
        <w:t>2</w:t>
      </w:r>
      <w:r w:rsidR="0091356E" w:rsidRPr="00EE4365">
        <w:rPr>
          <w:i/>
          <w:iCs/>
        </w:rPr>
        <w:t xml:space="preserve"> e gli scenari attesi </w:t>
      </w:r>
    </w:p>
    <w:p w14:paraId="206B99E2" w14:textId="1D982702" w:rsidR="002E4BEB" w:rsidRDefault="004D2CCF" w:rsidP="007E301C">
      <w:pPr>
        <w:jc w:val="both"/>
      </w:pPr>
      <w:r w:rsidRPr="00047D42">
        <w:t>Nel corso del 202</w:t>
      </w:r>
      <w:r w:rsidR="00E1610D">
        <w:t>2</w:t>
      </w:r>
      <w:r w:rsidRPr="00047D42">
        <w:t xml:space="preserve"> l</w:t>
      </w:r>
      <w:r w:rsidR="00DB6D7A">
        <w:t xml:space="preserve">e dinamiche </w:t>
      </w:r>
      <w:r w:rsidRPr="00047D42">
        <w:t>complessiv</w:t>
      </w:r>
      <w:r w:rsidR="00DB6D7A">
        <w:t>e</w:t>
      </w:r>
      <w:r w:rsidRPr="00047D42">
        <w:t xml:space="preserve"> del mercato del lavoro </w:t>
      </w:r>
      <w:r w:rsidR="00D952C9">
        <w:t xml:space="preserve">in Italia </w:t>
      </w:r>
      <w:r w:rsidRPr="00047D42">
        <w:t>ha</w:t>
      </w:r>
      <w:r w:rsidR="00DB6D7A">
        <w:t>nno</w:t>
      </w:r>
      <w:r w:rsidRPr="00047D42">
        <w:t xml:space="preserve"> seguito </w:t>
      </w:r>
      <w:r w:rsidR="00390597">
        <w:t xml:space="preserve">il </w:t>
      </w:r>
      <w:r w:rsidR="002013AA">
        <w:t>positivo</w:t>
      </w:r>
      <w:r w:rsidR="00390597">
        <w:t xml:space="preserve"> andamento</w:t>
      </w:r>
      <w:r w:rsidRPr="00047D42">
        <w:t xml:space="preserve"> delle attività economiche e del sistema produttivo</w:t>
      </w:r>
      <w:r w:rsidR="00DB6D7A">
        <w:t xml:space="preserve">. </w:t>
      </w:r>
      <w:r w:rsidR="00DF0218">
        <w:t>La crescita</w:t>
      </w:r>
      <w:r w:rsidR="007A60E4">
        <w:t xml:space="preserve"> su base annua </w:t>
      </w:r>
      <w:r w:rsidR="009119FE">
        <w:t xml:space="preserve">del </w:t>
      </w:r>
      <w:r w:rsidR="00DF0218">
        <w:t>Pil</w:t>
      </w:r>
      <w:r w:rsidR="00D66ABF">
        <w:t>,</w:t>
      </w:r>
      <w:r w:rsidR="009119FE">
        <w:t xml:space="preserve"> </w:t>
      </w:r>
      <w:r w:rsidR="007B689B">
        <w:t xml:space="preserve">registrata </w:t>
      </w:r>
      <w:r w:rsidR="002E4BEB">
        <w:t>attorno a</w:t>
      </w:r>
      <w:r w:rsidR="007A60E4">
        <w:t>l 3,</w:t>
      </w:r>
      <w:r w:rsidR="007B689B">
        <w:t>7</w:t>
      </w:r>
      <w:r w:rsidR="00E17C8D">
        <w:t>%</w:t>
      </w:r>
      <w:r w:rsidR="00D66ABF">
        <w:t>,</w:t>
      </w:r>
      <w:r w:rsidR="007A60E4">
        <w:t xml:space="preserve"> </w:t>
      </w:r>
      <w:r w:rsidR="009119FE">
        <w:t xml:space="preserve">ha evidenziato </w:t>
      </w:r>
      <w:r w:rsidR="002E4BEB">
        <w:t xml:space="preserve">una </w:t>
      </w:r>
      <w:r w:rsidR="007A60E4">
        <w:t xml:space="preserve">dinamica </w:t>
      </w:r>
      <w:r w:rsidR="007E301C">
        <w:t xml:space="preserve">addirittura </w:t>
      </w:r>
      <w:r w:rsidR="007A60E4">
        <w:t>superiore a quella della media dell’</w:t>
      </w:r>
      <w:r w:rsidR="0014032C">
        <w:t>a</w:t>
      </w:r>
      <w:r w:rsidR="007A60E4">
        <w:t xml:space="preserve">rea </w:t>
      </w:r>
      <w:r w:rsidR="00D66ABF">
        <w:t>E</w:t>
      </w:r>
      <w:r w:rsidR="007A60E4">
        <w:t>uro</w:t>
      </w:r>
      <w:r w:rsidR="009119FE">
        <w:t xml:space="preserve"> e</w:t>
      </w:r>
      <w:r w:rsidR="00DB6D7A">
        <w:t xml:space="preserve"> anche il mercato del lavoro ha </w:t>
      </w:r>
      <w:r w:rsidR="00D66ABF">
        <w:t>registrato tassi</w:t>
      </w:r>
      <w:r w:rsidR="00DB6D7A">
        <w:t xml:space="preserve"> di crescita relativamente elevati, migliorando tutti i propri indicatori specifici. </w:t>
      </w:r>
    </w:p>
    <w:p w14:paraId="04A5A13F" w14:textId="3304EC32" w:rsidR="007E301C" w:rsidRDefault="009678FD" w:rsidP="007E301C">
      <w:pPr>
        <w:jc w:val="both"/>
      </w:pPr>
      <w:r>
        <w:t>A</w:t>
      </w:r>
      <w:r w:rsidR="007E301C">
        <w:t xml:space="preserve"> fine </w:t>
      </w:r>
      <w:r w:rsidR="00B270F7" w:rsidRPr="00047D42">
        <w:t>202</w:t>
      </w:r>
      <w:r w:rsidR="00A1025C">
        <w:t>2</w:t>
      </w:r>
      <w:r w:rsidR="007E45AE">
        <w:t xml:space="preserve"> </w:t>
      </w:r>
      <w:r>
        <w:t>in base alla</w:t>
      </w:r>
      <w:r w:rsidR="007E45AE">
        <w:t xml:space="preserve"> ril</w:t>
      </w:r>
      <w:r w:rsidR="001C5C02">
        <w:t>e</w:t>
      </w:r>
      <w:r w:rsidR="007E45AE">
        <w:t xml:space="preserve">vazione mensile Istat </w:t>
      </w:r>
      <w:r w:rsidR="00A1025C">
        <w:t xml:space="preserve">il numero di occupati </w:t>
      </w:r>
      <w:r w:rsidR="007E301C">
        <w:t>ha raggiunto</w:t>
      </w:r>
      <w:r w:rsidR="00DB6D7A">
        <w:t xml:space="preserve"> </w:t>
      </w:r>
      <w:r w:rsidR="007B689B">
        <w:t xml:space="preserve">così </w:t>
      </w:r>
      <w:r w:rsidR="007E301C">
        <w:t xml:space="preserve">quota </w:t>
      </w:r>
      <w:r w:rsidR="00A1025C">
        <w:t>23,2 milioni</w:t>
      </w:r>
      <w:r w:rsidR="009F6BE6">
        <w:t>,</w:t>
      </w:r>
      <w:r w:rsidR="00A1025C">
        <w:t xml:space="preserve"> </w:t>
      </w:r>
      <w:r w:rsidR="002013AA">
        <w:t xml:space="preserve">con </w:t>
      </w:r>
      <w:r w:rsidR="00A1025C">
        <w:t xml:space="preserve">una crescita rispetto a </w:t>
      </w:r>
      <w:proofErr w:type="gramStart"/>
      <w:r>
        <w:t>G</w:t>
      </w:r>
      <w:r w:rsidR="00A1025C">
        <w:t>ennaio</w:t>
      </w:r>
      <w:proofErr w:type="gramEnd"/>
      <w:r w:rsidR="00A1025C">
        <w:t xml:space="preserve"> dell’1,5%</w:t>
      </w:r>
      <w:r>
        <w:t xml:space="preserve">. Il </w:t>
      </w:r>
      <w:r w:rsidR="007E301C">
        <w:t xml:space="preserve">volume assoluto </w:t>
      </w:r>
      <w:r>
        <w:t xml:space="preserve">è arrivato </w:t>
      </w:r>
      <w:r w:rsidR="007E301C">
        <w:t xml:space="preserve">vicinissimo al massimo storico </w:t>
      </w:r>
      <w:r w:rsidR="007E45AE">
        <w:t xml:space="preserve">in Italia </w:t>
      </w:r>
      <w:r w:rsidR="009119FE">
        <w:t xml:space="preserve">registrato a </w:t>
      </w:r>
      <w:r w:rsidR="00D952C9">
        <w:t xml:space="preserve">Giugno </w:t>
      </w:r>
      <w:r w:rsidR="002013AA">
        <w:t>20</w:t>
      </w:r>
      <w:r w:rsidR="007E45AE">
        <w:t>19</w:t>
      </w:r>
      <w:r w:rsidR="00A1025C">
        <w:t xml:space="preserve">. </w:t>
      </w:r>
    </w:p>
    <w:p w14:paraId="45420664" w14:textId="5A24AAFF" w:rsidR="007E301C" w:rsidRDefault="007E301C" w:rsidP="007E301C">
      <w:pPr>
        <w:jc w:val="both"/>
      </w:pPr>
      <w:r>
        <w:t xml:space="preserve">Tutti </w:t>
      </w:r>
      <w:r w:rsidR="00DB6D7A">
        <w:t>le variabili</w:t>
      </w:r>
      <w:r>
        <w:t xml:space="preserve"> del Mercato del Lavoro </w:t>
      </w:r>
      <w:r w:rsidR="007E45AE">
        <w:t>del 2022</w:t>
      </w:r>
      <w:r w:rsidR="00052A99">
        <w:t xml:space="preserve"> </w:t>
      </w:r>
      <w:r w:rsidR="009678FD">
        <w:t xml:space="preserve">rilevate </w:t>
      </w:r>
      <w:r w:rsidR="009F6BE6">
        <w:t>dall’Istat</w:t>
      </w:r>
      <w:r w:rsidR="00052A99">
        <w:t xml:space="preserve"> </w:t>
      </w:r>
      <w:r w:rsidR="00DB6D7A">
        <w:t>hanno evidenziato</w:t>
      </w:r>
      <w:r>
        <w:t xml:space="preserve"> una dinamica positiva: </w:t>
      </w:r>
    </w:p>
    <w:p w14:paraId="0322E0CB" w14:textId="475C68AF" w:rsidR="00A1025C" w:rsidRDefault="00A1025C" w:rsidP="007E301C">
      <w:pPr>
        <w:pStyle w:val="Paragrafoelenco"/>
        <w:numPr>
          <w:ilvl w:val="0"/>
          <w:numId w:val="8"/>
        </w:numPr>
        <w:jc w:val="both"/>
      </w:pPr>
      <w:r>
        <w:t xml:space="preserve">Il numero medio annuo di lavoratori calcolato su base </w:t>
      </w:r>
      <w:r w:rsidR="00AB4E65">
        <w:t>trimestrale</w:t>
      </w:r>
      <w:r w:rsidR="00AB4E65">
        <w:rPr>
          <w:rStyle w:val="Rimandonotaapidipagina"/>
        </w:rPr>
        <w:footnoteReference w:id="19"/>
      </w:r>
      <w:r>
        <w:t xml:space="preserve"> è stato pari</w:t>
      </w:r>
      <w:r w:rsidR="007E45AE">
        <w:t xml:space="preserve"> nel 2022 </w:t>
      </w:r>
      <w:r>
        <w:t>a 23,1 milioni</w:t>
      </w:r>
      <w:r w:rsidR="007E45AE">
        <w:t xml:space="preserve"> </w:t>
      </w:r>
      <w:r w:rsidR="00305228">
        <w:t xml:space="preserve">occupati, </w:t>
      </w:r>
      <w:r w:rsidR="009F45DA">
        <w:t xml:space="preserve">+ 545 mila occupati, </w:t>
      </w:r>
      <w:r w:rsidR="00095E5C">
        <w:t>equivalente ad una</w:t>
      </w:r>
      <w:r>
        <w:t xml:space="preserve"> crescita </w:t>
      </w:r>
      <w:r w:rsidR="007B689B">
        <w:t>de</w:t>
      </w:r>
      <w:r>
        <w:t>l 2,4%</w:t>
      </w:r>
      <w:r w:rsidR="00D952C9">
        <w:t xml:space="preserve"> rispetto al dato medio dell’anno precedente (22,6 milioni)</w:t>
      </w:r>
      <w:r>
        <w:t>.</w:t>
      </w:r>
    </w:p>
    <w:p w14:paraId="280A7DCD" w14:textId="23851638" w:rsidR="007E301C" w:rsidRDefault="004E4B21" w:rsidP="007E301C">
      <w:pPr>
        <w:pStyle w:val="Paragrafoelenco"/>
        <w:numPr>
          <w:ilvl w:val="0"/>
          <w:numId w:val="8"/>
        </w:numPr>
        <w:jc w:val="both"/>
      </w:pPr>
      <w:r>
        <w:t xml:space="preserve">A Dicembre 2022 </w:t>
      </w:r>
      <w:r w:rsidR="00095E5C">
        <w:t>i</w:t>
      </w:r>
      <w:r w:rsidR="00A1025C">
        <w:t xml:space="preserve"> disoccupati</w:t>
      </w:r>
      <w:r w:rsidR="007E301C">
        <w:t xml:space="preserve"> sono </w:t>
      </w:r>
      <w:r w:rsidR="00A1025C">
        <w:t>scesi a 1</w:t>
      </w:r>
      <w:r w:rsidR="00D952C9">
        <w:t>,</w:t>
      </w:r>
      <w:r w:rsidR="00A1025C">
        <w:t>96</w:t>
      </w:r>
      <w:r w:rsidR="00D952C9">
        <w:t xml:space="preserve"> milioni, evidenziando un</w:t>
      </w:r>
      <w:r w:rsidR="007E301C">
        <w:t xml:space="preserve"> calo molto netto rispetto a</w:t>
      </w:r>
      <w:r w:rsidR="007B689B">
        <w:t xml:space="preserve"> </w:t>
      </w:r>
      <w:r w:rsidR="00D952C9">
        <w:t>inizio anno (G</w:t>
      </w:r>
      <w:r w:rsidR="00A1025C">
        <w:t>ennaio 2022</w:t>
      </w:r>
      <w:r w:rsidR="00D952C9">
        <w:t>)</w:t>
      </w:r>
      <w:r w:rsidR="00502798">
        <w:t>,</w:t>
      </w:r>
      <w:r w:rsidR="00A1025C">
        <w:t xml:space="preserve"> </w:t>
      </w:r>
      <w:r w:rsidR="007E301C">
        <w:t xml:space="preserve">quando il numero di persone in cerca di lavoro in Italia era </w:t>
      </w:r>
      <w:r w:rsidR="00A1025C">
        <w:t>pari a 2</w:t>
      </w:r>
      <w:r w:rsidR="00D952C9">
        <w:t>,</w:t>
      </w:r>
      <w:r w:rsidR="00A1025C">
        <w:t>1</w:t>
      </w:r>
      <w:r w:rsidR="009F7B0E">
        <w:t>6</w:t>
      </w:r>
      <w:r w:rsidR="00A1025C">
        <w:t xml:space="preserve"> mi</w:t>
      </w:r>
      <w:r w:rsidR="00D952C9">
        <w:t>lioni</w:t>
      </w:r>
      <w:r w:rsidR="007E45AE">
        <w:t xml:space="preserve">: il </w:t>
      </w:r>
      <w:r w:rsidR="007E301C">
        <w:t>calo di</w:t>
      </w:r>
      <w:r w:rsidR="00A1025C">
        <w:t xml:space="preserve"> </w:t>
      </w:r>
      <w:r w:rsidR="009F7B0E">
        <w:t xml:space="preserve">poco superiore a </w:t>
      </w:r>
      <w:r w:rsidR="008F5F5C">
        <w:t>20</w:t>
      </w:r>
      <w:r w:rsidR="009F7B0E">
        <w:t>0</w:t>
      </w:r>
      <w:r w:rsidR="008F5F5C">
        <w:t xml:space="preserve"> mil</w:t>
      </w:r>
      <w:r w:rsidR="00DA530D">
        <w:t>a</w:t>
      </w:r>
      <w:r w:rsidR="008F5F5C">
        <w:t xml:space="preserve"> disoccupati </w:t>
      </w:r>
      <w:r w:rsidR="00D952C9">
        <w:t>equivale</w:t>
      </w:r>
      <w:r w:rsidR="00D41D14">
        <w:t xml:space="preserve"> a</w:t>
      </w:r>
      <w:r w:rsidR="005D6250">
        <w:t>l</w:t>
      </w:r>
      <w:r w:rsidR="00A1025C">
        <w:t xml:space="preserve"> -9,</w:t>
      </w:r>
      <w:r w:rsidR="009F7B0E">
        <w:t>5</w:t>
      </w:r>
      <w:r w:rsidR="00A1025C">
        <w:t xml:space="preserve">% da </w:t>
      </w:r>
      <w:proofErr w:type="gramStart"/>
      <w:r w:rsidR="007B689B">
        <w:t>Gennaio</w:t>
      </w:r>
      <w:proofErr w:type="gramEnd"/>
      <w:r w:rsidR="00A1025C">
        <w:t xml:space="preserve">.  </w:t>
      </w:r>
    </w:p>
    <w:p w14:paraId="60E32B54" w14:textId="09CC9C03" w:rsidR="007E301C" w:rsidRDefault="007E301C" w:rsidP="00442F00">
      <w:pPr>
        <w:pStyle w:val="Paragrafoelenco"/>
        <w:numPr>
          <w:ilvl w:val="0"/>
          <w:numId w:val="8"/>
        </w:numPr>
        <w:jc w:val="both"/>
      </w:pPr>
      <w:r>
        <w:t>Il</w:t>
      </w:r>
      <w:r w:rsidR="004D2CCF" w:rsidRPr="00047D42">
        <w:t xml:space="preserve"> tasso di disoccupazione a </w:t>
      </w:r>
      <w:r w:rsidR="007948AE">
        <w:t>Dicembre</w:t>
      </w:r>
      <w:r w:rsidR="00CC7D6D">
        <w:t xml:space="preserve"> </w:t>
      </w:r>
      <w:r w:rsidR="004D2CCF" w:rsidRPr="00047D42">
        <w:t>202</w:t>
      </w:r>
      <w:r w:rsidR="00D952C9">
        <w:t>2</w:t>
      </w:r>
      <w:r w:rsidR="00502798">
        <w:t>,</w:t>
      </w:r>
      <w:r w:rsidR="004D2CCF" w:rsidRPr="00047D42">
        <w:t xml:space="preserve"> </w:t>
      </w:r>
      <w:r w:rsidR="00CC7D6D">
        <w:t>è</w:t>
      </w:r>
      <w:r w:rsidR="004D2CCF" w:rsidRPr="00047D42">
        <w:t xml:space="preserve"> sceso al </w:t>
      </w:r>
      <w:r w:rsidR="008F5F5C">
        <w:t>7,8</w:t>
      </w:r>
      <w:r>
        <w:t>%</w:t>
      </w:r>
      <w:r w:rsidR="008F5F5C">
        <w:t xml:space="preserve"> contro il </w:t>
      </w:r>
      <w:r w:rsidR="004D2CCF" w:rsidRPr="00047D42">
        <w:t xml:space="preserve">9,0% </w:t>
      </w:r>
      <w:r w:rsidR="008F5F5C">
        <w:t>del Dicembre 2021</w:t>
      </w:r>
      <w:r w:rsidR="009F7B0E">
        <w:t>,</w:t>
      </w:r>
      <w:r w:rsidR="008F5F5C">
        <w:t xml:space="preserve"> </w:t>
      </w:r>
      <w:r>
        <w:t xml:space="preserve">raggiungendo un livello </w:t>
      </w:r>
      <w:r w:rsidR="008F5F5C">
        <w:t>a</w:t>
      </w:r>
      <w:r w:rsidR="009F7B0E">
        <w:t>mpia</w:t>
      </w:r>
      <w:r w:rsidR="008F5F5C">
        <w:t xml:space="preserve">mente </w:t>
      </w:r>
      <w:r w:rsidR="004D2CCF" w:rsidRPr="00047D42">
        <w:t>al</w:t>
      </w:r>
      <w:r w:rsidR="00502798">
        <w:t xml:space="preserve"> </w:t>
      </w:r>
      <w:r w:rsidR="004D2CCF" w:rsidRPr="00047D42">
        <w:t>di sotto de</w:t>
      </w:r>
      <w:r>
        <w:t>gli a</w:t>
      </w:r>
      <w:r w:rsidR="00D952C9">
        <w:t>n</w:t>
      </w:r>
      <w:r>
        <w:t xml:space="preserve">damenti </w:t>
      </w:r>
      <w:r w:rsidR="004D2CCF" w:rsidRPr="00047D42">
        <w:t>pre</w:t>
      </w:r>
      <w:r>
        <w:t>-</w:t>
      </w:r>
      <w:r w:rsidR="004D2CCF" w:rsidRPr="00047D42">
        <w:t xml:space="preserve">crisi </w:t>
      </w:r>
      <w:r w:rsidR="008F5F5C">
        <w:t xml:space="preserve">pandemica </w:t>
      </w:r>
      <w:r w:rsidR="007E45AE">
        <w:t xml:space="preserve">(a </w:t>
      </w:r>
      <w:r w:rsidR="003E1707">
        <w:t xml:space="preserve">Dicembre </w:t>
      </w:r>
      <w:r w:rsidR="00E71119" w:rsidRPr="00047D42">
        <w:t>2019</w:t>
      </w:r>
      <w:r w:rsidR="00E71119">
        <w:t xml:space="preserve"> </w:t>
      </w:r>
      <w:r w:rsidR="00E71119" w:rsidRPr="00047D42">
        <w:t>il</w:t>
      </w:r>
      <w:r w:rsidR="004D2CCF" w:rsidRPr="00047D42">
        <w:t xml:space="preserve"> tasso era pari al 9,</w:t>
      </w:r>
      <w:r w:rsidR="00D952C9">
        <w:t>7</w:t>
      </w:r>
      <w:r w:rsidR="004D2CCF" w:rsidRPr="00047D42">
        <w:t>%</w:t>
      </w:r>
      <w:r w:rsidR="007E45AE">
        <w:t>)</w:t>
      </w:r>
      <w:r w:rsidR="004D2CCF" w:rsidRPr="00047D42">
        <w:t xml:space="preserve">. </w:t>
      </w:r>
    </w:p>
    <w:p w14:paraId="6991140F" w14:textId="7437D07E" w:rsidR="004D2CCF" w:rsidRPr="00047D42" w:rsidRDefault="00D952C9" w:rsidP="00442F00">
      <w:pPr>
        <w:pStyle w:val="Paragrafoelenco"/>
        <w:numPr>
          <w:ilvl w:val="0"/>
          <w:numId w:val="8"/>
        </w:numPr>
        <w:jc w:val="both"/>
      </w:pPr>
      <w:r>
        <w:t>Anche il</w:t>
      </w:r>
      <w:r w:rsidR="004D2CCF" w:rsidRPr="00047D42">
        <w:t xml:space="preserve"> tasso di occupazione ha evidenziato </w:t>
      </w:r>
      <w:r w:rsidR="00EB4094">
        <w:t xml:space="preserve">nel corso dell’anno non solo </w:t>
      </w:r>
      <w:r w:rsidR="004D2CCF" w:rsidRPr="00047D42">
        <w:t xml:space="preserve">un completo recupero rispetto al periodo </w:t>
      </w:r>
      <w:proofErr w:type="spellStart"/>
      <w:r w:rsidR="004D2CCF" w:rsidRPr="00047D42">
        <w:t>pre</w:t>
      </w:r>
      <w:proofErr w:type="spellEnd"/>
      <w:r w:rsidR="00861E99">
        <w:t xml:space="preserve"> </w:t>
      </w:r>
      <w:r w:rsidR="002A018F">
        <w:t>C</w:t>
      </w:r>
      <w:r w:rsidR="00DB6D7A">
        <w:t>ovid</w:t>
      </w:r>
      <w:r w:rsidR="005A2418">
        <w:t>,</w:t>
      </w:r>
      <w:r w:rsidR="00B53659">
        <w:t xml:space="preserve"> </w:t>
      </w:r>
      <w:r w:rsidR="00052A99">
        <w:t>grazie ad una</w:t>
      </w:r>
      <w:r w:rsidR="00B53659">
        <w:t xml:space="preserve"> crescita ulteriore </w:t>
      </w:r>
      <w:r w:rsidR="00DB6D7A">
        <w:t xml:space="preserve">nel 2022 </w:t>
      </w:r>
      <w:r w:rsidR="00B53659">
        <w:t>d</w:t>
      </w:r>
      <w:r w:rsidR="00DA530D">
        <w:t xml:space="preserve">i 1,1 punti percentuali </w:t>
      </w:r>
      <w:r w:rsidR="00052A99">
        <w:t>dopo il forte incremento d</w:t>
      </w:r>
      <w:r w:rsidR="00B53659">
        <w:t xml:space="preserve">ell’anno precedente </w:t>
      </w:r>
      <w:r w:rsidR="004D2CCF" w:rsidRPr="00047D42">
        <w:t>(+2,</w:t>
      </w:r>
      <w:r w:rsidR="00DA530D">
        <w:t>6</w:t>
      </w:r>
      <w:r w:rsidR="004D2CCF" w:rsidRPr="00047D42">
        <w:t xml:space="preserve"> punti percentuali</w:t>
      </w:r>
      <w:r w:rsidR="00CC7D6D">
        <w:t>)</w:t>
      </w:r>
      <w:r w:rsidR="00EB4094">
        <w:t>, ma ha anche raggiunto il massimo storico</w:t>
      </w:r>
      <w:r w:rsidR="00EB4094" w:rsidRPr="00047D42">
        <w:t xml:space="preserve">: a </w:t>
      </w:r>
      <w:r w:rsidR="00EB4094">
        <w:t xml:space="preserve">Dicembre </w:t>
      </w:r>
      <w:r w:rsidR="00EB4094" w:rsidRPr="00047D42">
        <w:t>202</w:t>
      </w:r>
      <w:r w:rsidR="00EB4094">
        <w:t>2</w:t>
      </w:r>
      <w:r w:rsidR="00EB4094" w:rsidRPr="00047D42">
        <w:t xml:space="preserve"> il valore </w:t>
      </w:r>
      <w:r w:rsidR="00EB4094">
        <w:t xml:space="preserve">del tasso di occupazione era </w:t>
      </w:r>
      <w:r w:rsidR="00EB4094" w:rsidRPr="00047D42">
        <w:t xml:space="preserve">pari al </w:t>
      </w:r>
      <w:r w:rsidR="00EB4094">
        <w:t>60</w:t>
      </w:r>
      <w:r w:rsidR="00EB4094" w:rsidRPr="00047D42">
        <w:t>,</w:t>
      </w:r>
      <w:r w:rsidR="00EB4094">
        <w:t>5</w:t>
      </w:r>
      <w:r w:rsidR="00EB4094" w:rsidRPr="00047D42">
        <w:t>%</w:t>
      </w:r>
      <w:r w:rsidR="004D2CCF" w:rsidRPr="00047D42">
        <w:t xml:space="preserve">. </w:t>
      </w:r>
    </w:p>
    <w:p w14:paraId="5E1F77A3" w14:textId="0CC4A61F" w:rsidR="002013AA" w:rsidRDefault="009119FE" w:rsidP="0091356E">
      <w:pPr>
        <w:jc w:val="both"/>
      </w:pPr>
      <w:r>
        <w:t>G</w:t>
      </w:r>
      <w:r w:rsidR="007E45AE">
        <w:t xml:space="preserve">li andamenti dei vari segmenti che compongono il mercato </w:t>
      </w:r>
      <w:r w:rsidR="00052A99">
        <w:t>del lavoro it</w:t>
      </w:r>
      <w:r w:rsidR="00F551E1">
        <w:t>a</w:t>
      </w:r>
      <w:r w:rsidR="00052A99">
        <w:t xml:space="preserve">liano </w:t>
      </w:r>
      <w:r>
        <w:t xml:space="preserve">qualificano meglio le dinamiche </w:t>
      </w:r>
      <w:r w:rsidR="00861E99">
        <w:t>di fondo</w:t>
      </w:r>
      <w:r>
        <w:t>. L</w:t>
      </w:r>
      <w:r w:rsidR="00A72925">
        <w:t xml:space="preserve">a crescita annua </w:t>
      </w:r>
      <w:r w:rsidR="00EB4094">
        <w:t xml:space="preserve">del 2022 </w:t>
      </w:r>
      <w:r>
        <w:t>è</w:t>
      </w:r>
      <w:r w:rsidR="00EB4094">
        <w:t xml:space="preserve"> dipesa</w:t>
      </w:r>
      <w:r>
        <w:t>, così,</w:t>
      </w:r>
      <w:r w:rsidR="00EB4094">
        <w:t xml:space="preserve"> </w:t>
      </w:r>
      <w:r w:rsidR="00052A99">
        <w:t xml:space="preserve">soprattutto </w:t>
      </w:r>
      <w:r w:rsidR="008D3820">
        <w:t>dalla</w:t>
      </w:r>
      <w:r w:rsidR="00A72925">
        <w:t xml:space="preserve"> crescita </w:t>
      </w:r>
      <w:r w:rsidR="004D2CCF" w:rsidRPr="00047D42">
        <w:t>del lavoro dipendente a tempo indeterminato</w:t>
      </w:r>
      <w:r w:rsidR="005A2418">
        <w:t>,</w:t>
      </w:r>
      <w:r w:rsidR="004D2CCF" w:rsidRPr="00047D42">
        <w:t xml:space="preserve"> </w:t>
      </w:r>
      <w:r w:rsidR="007E45AE">
        <w:t xml:space="preserve">con </w:t>
      </w:r>
      <w:r w:rsidR="00A72925">
        <w:t xml:space="preserve">+248 </w:t>
      </w:r>
      <w:r w:rsidR="004D2CCF" w:rsidRPr="00047D42">
        <w:t>mila unità</w:t>
      </w:r>
      <w:r w:rsidR="00A72925">
        <w:t xml:space="preserve"> da </w:t>
      </w:r>
      <w:r w:rsidR="00EB4094">
        <w:t>i</w:t>
      </w:r>
      <w:r w:rsidR="00A72925">
        <w:t>nizio anno</w:t>
      </w:r>
      <w:r w:rsidR="004D2CCF" w:rsidRPr="00047D42">
        <w:t xml:space="preserve"> </w:t>
      </w:r>
      <w:r w:rsidR="00052A99">
        <w:t>(</w:t>
      </w:r>
      <w:r w:rsidR="007E45AE">
        <w:t>pari a +1,7%</w:t>
      </w:r>
      <w:r w:rsidR="00052A99">
        <w:t>)</w:t>
      </w:r>
      <w:r w:rsidR="007E45AE">
        <w:t xml:space="preserve"> </w:t>
      </w:r>
      <w:r w:rsidR="00A72925">
        <w:t xml:space="preserve">e dalla crescita del </w:t>
      </w:r>
      <w:r w:rsidR="00A72925" w:rsidRPr="00047D42">
        <w:t>lavoro autonomo (</w:t>
      </w:r>
      <w:r w:rsidR="00A72925">
        <w:t>+ 70</w:t>
      </w:r>
      <w:r w:rsidR="00A72925" w:rsidRPr="00047D42">
        <w:t>mil</w:t>
      </w:r>
      <w:r w:rsidR="00285F03">
        <w:t>a</w:t>
      </w:r>
      <w:r w:rsidR="00231645">
        <w:t xml:space="preserve"> </w:t>
      </w:r>
      <w:r w:rsidR="00A72925" w:rsidRPr="00047D42">
        <w:t>occupati</w:t>
      </w:r>
      <w:r w:rsidR="00A72925">
        <w:t xml:space="preserve"> pari a +1,6</w:t>
      </w:r>
      <w:r w:rsidR="001D2811">
        <w:t>%</w:t>
      </w:r>
      <w:r w:rsidR="00A72925" w:rsidRPr="00047D42">
        <w:t>)</w:t>
      </w:r>
      <w:r w:rsidR="00A72925">
        <w:t xml:space="preserve">. </w:t>
      </w:r>
    </w:p>
    <w:p w14:paraId="51AE3E45" w14:textId="71ADBB85" w:rsidR="00EB4094" w:rsidRDefault="00A72925" w:rsidP="00052A99">
      <w:pPr>
        <w:jc w:val="both"/>
      </w:pPr>
      <w:r>
        <w:t>I</w:t>
      </w:r>
      <w:r w:rsidR="004D2CCF" w:rsidRPr="00047D42">
        <w:t xml:space="preserve">l lavoro dipendente a tempo determinato ha </w:t>
      </w:r>
      <w:r>
        <w:t>contribuito</w:t>
      </w:r>
      <w:r w:rsidR="00052A99">
        <w:t xml:space="preserve">, invece, </w:t>
      </w:r>
      <w:r w:rsidR="00EB4094">
        <w:t xml:space="preserve">solo </w:t>
      </w:r>
      <w:r w:rsidR="002972C1">
        <w:t>marginalmente al raggiungimento dei livelli</w:t>
      </w:r>
      <w:r>
        <w:t xml:space="preserve"> occupazionali </w:t>
      </w:r>
      <w:r w:rsidR="00052A99">
        <w:t xml:space="preserve">descritti: a </w:t>
      </w:r>
      <w:proofErr w:type="gramStart"/>
      <w:r w:rsidR="00052A99">
        <w:t>Dicembre</w:t>
      </w:r>
      <w:proofErr w:type="gramEnd"/>
      <w:r w:rsidR="00052A99">
        <w:t xml:space="preserve"> </w:t>
      </w:r>
      <w:r w:rsidR="009119FE">
        <w:t>i tempi determinati</w:t>
      </w:r>
      <w:r w:rsidR="00420882">
        <w:t>,</w:t>
      </w:r>
      <w:r w:rsidR="009119FE">
        <w:t xml:space="preserve"> </w:t>
      </w:r>
      <w:r w:rsidR="00420882">
        <w:t xml:space="preserve">rispetto a inizio anno, </w:t>
      </w:r>
      <w:r w:rsidR="00052A99">
        <w:t>registrava</w:t>
      </w:r>
      <w:r w:rsidR="00EB4094">
        <w:t>no</w:t>
      </w:r>
      <w:r w:rsidR="00052A99">
        <w:t xml:space="preserve"> </w:t>
      </w:r>
      <w:r w:rsidR="007B689B">
        <w:t xml:space="preserve">una crescita di appena </w:t>
      </w:r>
      <w:r w:rsidR="004D2CCF" w:rsidRPr="00047D42">
        <w:t>1</w:t>
      </w:r>
      <w:r>
        <w:t>8</w:t>
      </w:r>
      <w:r w:rsidR="004D2CCF" w:rsidRPr="00047D42">
        <w:t>mila unità</w:t>
      </w:r>
      <w:r>
        <w:t xml:space="preserve"> </w:t>
      </w:r>
      <w:r w:rsidR="002972C1">
        <w:t>(</w:t>
      </w:r>
      <w:r>
        <w:t>pari a +0,6%</w:t>
      </w:r>
      <w:r w:rsidR="004D2CCF" w:rsidRPr="00047D42">
        <w:t>)</w:t>
      </w:r>
      <w:r w:rsidR="00052A99">
        <w:t xml:space="preserve">. </w:t>
      </w:r>
    </w:p>
    <w:p w14:paraId="3B821513" w14:textId="0C5A0C14" w:rsidR="0091356E" w:rsidRDefault="00420882" w:rsidP="00052A99">
      <w:pPr>
        <w:jc w:val="both"/>
      </w:pPr>
      <w:r>
        <w:t>I</w:t>
      </w:r>
      <w:r w:rsidR="00052A99">
        <w:t xml:space="preserve">l lavoro a termine </w:t>
      </w:r>
      <w:r w:rsidR="00A72925">
        <w:t xml:space="preserve">ha </w:t>
      </w:r>
      <w:r w:rsidR="00095E5C">
        <w:t xml:space="preserve">avuto </w:t>
      </w:r>
      <w:r w:rsidR="00052A99">
        <w:t xml:space="preserve">una dinamica diversa rispetto al resto del mercato del lavoro </w:t>
      </w:r>
      <w:r w:rsidR="00A72925">
        <w:t>co</w:t>
      </w:r>
      <w:r w:rsidR="00F551E1">
        <w:t xml:space="preserve">n una crescita </w:t>
      </w:r>
      <w:r w:rsidR="007B689B">
        <w:t xml:space="preserve">molto </w:t>
      </w:r>
      <w:r w:rsidR="00F551E1">
        <w:t xml:space="preserve">rapida nei primi mesi dell’anno </w:t>
      </w:r>
      <w:r>
        <w:t xml:space="preserve">che ha portato </w:t>
      </w:r>
      <w:r w:rsidR="00F551E1">
        <w:t>a</w:t>
      </w:r>
      <w:r w:rsidR="00A72925">
        <w:t xml:space="preserve"> Febbraio </w:t>
      </w:r>
      <w:r w:rsidR="007E45AE">
        <w:t xml:space="preserve">2022 </w:t>
      </w:r>
      <w:r w:rsidR="00F551E1">
        <w:t>a</w:t>
      </w:r>
      <w:r w:rsidR="00A72925">
        <w:t xml:space="preserve"> raggiun</w:t>
      </w:r>
      <w:r>
        <w:t>gere un</w:t>
      </w:r>
      <w:r w:rsidR="00A72925">
        <w:t xml:space="preserve"> massimo </w:t>
      </w:r>
      <w:r w:rsidR="00AB0447">
        <w:t xml:space="preserve">storico </w:t>
      </w:r>
      <w:r w:rsidR="00052A99">
        <w:t xml:space="preserve">in </w:t>
      </w:r>
      <w:r w:rsidR="005F645B">
        <w:t>Italia, arrivando</w:t>
      </w:r>
      <w:r w:rsidR="007B689B">
        <w:t xml:space="preserve"> a</w:t>
      </w:r>
      <w:r w:rsidR="00AB0447">
        <w:t xml:space="preserve"> 3,1 milioni di occupati</w:t>
      </w:r>
      <w:r w:rsidR="00052A99">
        <w:t xml:space="preserve"> dipendenti a tempo determinato</w:t>
      </w:r>
      <w:r>
        <w:t>. A</w:t>
      </w:r>
      <w:r w:rsidR="00EB4094">
        <w:t xml:space="preserve"> partire da </w:t>
      </w:r>
      <w:r>
        <w:t>M</w:t>
      </w:r>
      <w:r w:rsidR="00EB4094">
        <w:t>arzo 2022</w:t>
      </w:r>
      <w:r>
        <w:t xml:space="preserve"> si è manifestato</w:t>
      </w:r>
      <w:r w:rsidR="00F551E1">
        <w:t xml:space="preserve"> </w:t>
      </w:r>
      <w:r w:rsidR="00861E99">
        <w:t>però</w:t>
      </w:r>
      <w:r w:rsidR="007B689B">
        <w:t xml:space="preserve"> </w:t>
      </w:r>
      <w:r w:rsidR="00F551E1">
        <w:t>un progressivo declino</w:t>
      </w:r>
      <w:r w:rsidR="00EB4094">
        <w:t xml:space="preserve">. </w:t>
      </w:r>
    </w:p>
    <w:p w14:paraId="51AAA35A" w14:textId="1A0E9971" w:rsidR="00F627D7" w:rsidRDefault="002013AA" w:rsidP="00925E68">
      <w:pPr>
        <w:jc w:val="both"/>
      </w:pPr>
      <w:r>
        <w:lastRenderedPageBreak/>
        <w:t>Se si prendono in esame</w:t>
      </w:r>
      <w:r w:rsidR="007E45AE">
        <w:t xml:space="preserve"> i dati amministrativi sull</w:t>
      </w:r>
      <w:r w:rsidR="00925E68" w:rsidRPr="00047D42">
        <w:t>e assunzioni</w:t>
      </w:r>
      <w:r w:rsidR="00F551E1">
        <w:t>,</w:t>
      </w:r>
      <w:r w:rsidR="00052A99">
        <w:t xml:space="preserve"> trasformazioni e cessazioni</w:t>
      </w:r>
      <w:r w:rsidR="00E454BF">
        <w:t xml:space="preserve"> del 2022</w:t>
      </w:r>
      <w:r w:rsidR="00052A99">
        <w:t>,</w:t>
      </w:r>
      <w:r w:rsidR="00925E68" w:rsidRPr="00047D42">
        <w:t xml:space="preserve"> </w:t>
      </w:r>
      <w:r w:rsidR="007E45AE">
        <w:t>ritraibili dall</w:t>
      </w:r>
      <w:r>
        <w:t xml:space="preserve">’analisi </w:t>
      </w:r>
      <w:r w:rsidR="007E45AE">
        <w:t xml:space="preserve">delle Comunicazioni </w:t>
      </w:r>
      <w:r w:rsidR="00052A99">
        <w:t>O</w:t>
      </w:r>
      <w:r w:rsidR="007E45AE">
        <w:t xml:space="preserve">bbligatorie </w:t>
      </w:r>
      <w:r w:rsidR="00925E68" w:rsidRPr="00047D42">
        <w:t>dei datori di lavoro privati</w:t>
      </w:r>
      <w:r w:rsidR="00925E68">
        <w:t xml:space="preserve"> </w:t>
      </w:r>
      <w:r w:rsidR="00052A99">
        <w:t>(COB)</w:t>
      </w:r>
      <w:r w:rsidR="00E454BF">
        <w:t xml:space="preserve"> della Banca d’Italia</w:t>
      </w:r>
      <w:r w:rsidR="00E376FC">
        <w:rPr>
          <w:rStyle w:val="Rimandonotaapidipagina"/>
        </w:rPr>
        <w:footnoteReference w:id="20"/>
      </w:r>
      <w:r w:rsidR="00052A99">
        <w:t xml:space="preserve">, </w:t>
      </w:r>
      <w:r w:rsidR="007E45AE">
        <w:t xml:space="preserve">emerge </w:t>
      </w:r>
      <w:r w:rsidR="00F551E1">
        <w:t>a</w:t>
      </w:r>
      <w:r w:rsidR="00052A99">
        <w:t xml:space="preserve">ncora più chiaramente </w:t>
      </w:r>
      <w:r w:rsidR="001C5C02">
        <w:t>l’and</w:t>
      </w:r>
      <w:r>
        <w:t>a</w:t>
      </w:r>
      <w:r w:rsidR="001C5C02">
        <w:t>m</w:t>
      </w:r>
      <w:r>
        <w:t>e</w:t>
      </w:r>
      <w:r w:rsidR="001C5C02">
        <w:t>nto positivo del mercato</w:t>
      </w:r>
      <w:r>
        <w:t xml:space="preserve"> del lavoro</w:t>
      </w:r>
      <w:r w:rsidR="00F551E1">
        <w:t xml:space="preserve"> </w:t>
      </w:r>
      <w:r w:rsidR="00E454BF">
        <w:t>nel 2022</w:t>
      </w:r>
      <w:r w:rsidR="00420882">
        <w:t xml:space="preserve">, </w:t>
      </w:r>
      <w:r w:rsidR="00E454BF">
        <w:t>grazie al</w:t>
      </w:r>
      <w:r w:rsidR="00F627D7">
        <w:t xml:space="preserve"> forte traino della componente a tempo indeterminato.</w:t>
      </w:r>
    </w:p>
    <w:p w14:paraId="6BE0782C" w14:textId="696A11DB" w:rsidR="00420882" w:rsidRDefault="00F627D7" w:rsidP="00E454BF">
      <w:pPr>
        <w:jc w:val="both"/>
      </w:pPr>
      <w:r>
        <w:t>G</w:t>
      </w:r>
      <w:r w:rsidR="002013AA">
        <w:t xml:space="preserve">uardando al numero netto di nuove attivazioni di </w:t>
      </w:r>
      <w:r w:rsidR="00F34FCD">
        <w:t xml:space="preserve">posizioni lavorative </w:t>
      </w:r>
      <w:r w:rsidR="00052A99">
        <w:t>si registrano</w:t>
      </w:r>
      <w:r w:rsidR="00E454BF">
        <w:t xml:space="preserve">, infatti, </w:t>
      </w:r>
      <w:r w:rsidR="002013AA">
        <w:t xml:space="preserve">380.000 </w:t>
      </w:r>
      <w:r w:rsidR="00052A99">
        <w:t xml:space="preserve">unità </w:t>
      </w:r>
      <w:r w:rsidR="00F34FCD">
        <w:t>(al netto delle cessazioni</w:t>
      </w:r>
      <w:r w:rsidR="001426A8">
        <w:t>)</w:t>
      </w:r>
      <w:r w:rsidR="00052A99">
        <w:t xml:space="preserve">. Si tratta di un valore </w:t>
      </w:r>
      <w:r w:rsidR="00F34FCD">
        <w:t>superiore a</w:t>
      </w:r>
      <w:r w:rsidR="00420882">
        <w:t>l</w:t>
      </w:r>
      <w:r w:rsidR="00052A99">
        <w:t xml:space="preserve"> dat</w:t>
      </w:r>
      <w:r w:rsidR="00420882">
        <w:t>o</w:t>
      </w:r>
      <w:r w:rsidR="00052A99">
        <w:t xml:space="preserve"> d</w:t>
      </w:r>
      <w:r w:rsidR="00F34FCD">
        <w:t>el 2019,</w:t>
      </w:r>
      <w:r w:rsidR="007B689B">
        <w:t xml:space="preserve"> </w:t>
      </w:r>
      <w:r w:rsidR="00052A99">
        <w:t>pr</w:t>
      </w:r>
      <w:r w:rsidR="00F551E1">
        <w:t>ima</w:t>
      </w:r>
      <w:r w:rsidR="00052A99">
        <w:t xml:space="preserve"> </w:t>
      </w:r>
      <w:r w:rsidR="00F551E1">
        <w:t>del</w:t>
      </w:r>
      <w:r w:rsidR="002013AA">
        <w:t xml:space="preserve">lo scoppio </w:t>
      </w:r>
      <w:r w:rsidR="00F34FCD">
        <w:t>dell’emergenza sanitaria.</w:t>
      </w:r>
      <w:r w:rsidR="00925E68">
        <w:t xml:space="preserve"> </w:t>
      </w:r>
      <w:r w:rsidR="00E454BF">
        <w:t xml:space="preserve">Sono </w:t>
      </w:r>
      <w:r w:rsidR="002C3CF8">
        <w:t>stati però</w:t>
      </w:r>
      <w:r w:rsidR="00E454BF">
        <w:t xml:space="preserve"> solo i</w:t>
      </w:r>
      <w:r>
        <w:t xml:space="preserve"> </w:t>
      </w:r>
      <w:r w:rsidR="00E30DCF">
        <w:t>dipendenti a tempo</w:t>
      </w:r>
      <w:r w:rsidR="00386EEC">
        <w:t xml:space="preserve"> indeterminato</w:t>
      </w:r>
      <w:r w:rsidR="00E30DCF">
        <w:t xml:space="preserve"> </w:t>
      </w:r>
      <w:r w:rsidR="007B689B">
        <w:t>a</w:t>
      </w:r>
      <w:r w:rsidR="00E30DCF">
        <w:t xml:space="preserve"> </w:t>
      </w:r>
      <w:r w:rsidR="00386EEC">
        <w:t>registra</w:t>
      </w:r>
      <w:r w:rsidR="007B689B">
        <w:t>re</w:t>
      </w:r>
      <w:r w:rsidR="00386EEC">
        <w:t xml:space="preserve"> una </w:t>
      </w:r>
      <w:r w:rsidR="002C3CF8">
        <w:t>crescita, con</w:t>
      </w:r>
      <w:r w:rsidR="00E454BF">
        <w:t xml:space="preserve"> </w:t>
      </w:r>
      <w:r w:rsidR="00386EEC">
        <w:t>410.000 posti di lavoro</w:t>
      </w:r>
      <w:r w:rsidR="00E30DCF">
        <w:t xml:space="preserve"> netti</w:t>
      </w:r>
      <w:r w:rsidR="00386EEC">
        <w:t>, a fronte di una sostanziale stazionarietà dell’occupazione a termine e ad un calo di oltre 50.000 unità dei contratti di apprendistato</w:t>
      </w:r>
      <w:r w:rsidR="00E30DCF">
        <w:t xml:space="preserve">. </w:t>
      </w:r>
    </w:p>
    <w:p w14:paraId="3E50A858" w14:textId="2D8C83D0" w:rsidR="0001577E" w:rsidRDefault="00F627D7" w:rsidP="00E454BF">
      <w:pPr>
        <w:jc w:val="both"/>
      </w:pPr>
      <w:r>
        <w:t>Per i contratti a termine è</w:t>
      </w:r>
      <w:r w:rsidR="00E30DCF">
        <w:t xml:space="preserve"> </w:t>
      </w:r>
      <w:r w:rsidR="00E454BF">
        <w:t xml:space="preserve">da </w:t>
      </w:r>
      <w:r w:rsidR="00E30DCF">
        <w:t xml:space="preserve">evidenziare </w:t>
      </w:r>
      <w:r>
        <w:t>comunque</w:t>
      </w:r>
      <w:r w:rsidR="00E30DCF">
        <w:t xml:space="preserve"> il</w:t>
      </w:r>
      <w:r w:rsidR="0001577E">
        <w:t xml:space="preserve"> dato </w:t>
      </w:r>
      <w:r w:rsidR="00E30DCF">
        <w:t xml:space="preserve">molto elevato </w:t>
      </w:r>
      <w:r w:rsidR="0001577E">
        <w:t>delle trasformazioni a tempo indeterminato</w:t>
      </w:r>
      <w:r>
        <w:t xml:space="preserve">. Nel corso dell’anno si sono registrate </w:t>
      </w:r>
      <w:r w:rsidR="0001577E">
        <w:t xml:space="preserve">622mila </w:t>
      </w:r>
      <w:r w:rsidR="00E30DCF">
        <w:t xml:space="preserve">trasformazioni </w:t>
      </w:r>
      <w:r w:rsidR="007B689B">
        <w:t xml:space="preserve">verso contratti permanenti </w:t>
      </w:r>
      <w:r w:rsidR="00E30DCF">
        <w:t xml:space="preserve">con un valore in forte crescita </w:t>
      </w:r>
      <w:r w:rsidR="0001577E">
        <w:t>ri</w:t>
      </w:r>
      <w:r w:rsidR="00014F1E">
        <w:t>s</w:t>
      </w:r>
      <w:r w:rsidR="0001577E">
        <w:t xml:space="preserve">petto </w:t>
      </w:r>
      <w:r w:rsidR="009064E8">
        <w:t>al 2021</w:t>
      </w:r>
      <w:r w:rsidR="0001577E">
        <w:t xml:space="preserve"> </w:t>
      </w:r>
      <w:r w:rsidR="00E30DCF">
        <w:t xml:space="preserve">(+ </w:t>
      </w:r>
      <w:r w:rsidR="0001577E">
        <w:t>41%</w:t>
      </w:r>
      <w:r w:rsidR="00E30DCF">
        <w:t>).</w:t>
      </w:r>
      <w:r w:rsidR="0001577E">
        <w:t xml:space="preserve">  </w:t>
      </w:r>
    </w:p>
    <w:p w14:paraId="083740D9" w14:textId="14D6D960" w:rsidR="00F627D7" w:rsidRDefault="00DF73BD" w:rsidP="003B760A">
      <w:pPr>
        <w:jc w:val="both"/>
      </w:pPr>
      <w:r>
        <w:t xml:space="preserve">Il lavoro </w:t>
      </w:r>
      <w:r w:rsidR="00E454BF">
        <w:t xml:space="preserve">a </w:t>
      </w:r>
      <w:r>
        <w:t>tempo determinato ha comunque mantenuto saldi positivi</w:t>
      </w:r>
      <w:r w:rsidR="00014F1E">
        <w:t xml:space="preserve"> tra</w:t>
      </w:r>
      <w:r>
        <w:t xml:space="preserve"> attivazioni e cessazioni sino a </w:t>
      </w:r>
      <w:r w:rsidR="00E30DCF">
        <w:t>M</w:t>
      </w:r>
      <w:r>
        <w:t>aggio</w:t>
      </w:r>
      <w:r w:rsidR="007B689B">
        <w:t xml:space="preserve"> 2022</w:t>
      </w:r>
      <w:r w:rsidR="00014F1E">
        <w:t xml:space="preserve">. Nei mesi successivi e sino a </w:t>
      </w:r>
      <w:proofErr w:type="gramStart"/>
      <w:r w:rsidR="00014F1E">
        <w:t>Novembre</w:t>
      </w:r>
      <w:proofErr w:type="gramEnd"/>
      <w:r w:rsidR="00014F1E">
        <w:t xml:space="preserve"> hanno prevalso</w:t>
      </w:r>
      <w:r w:rsidR="00420882">
        <w:t xml:space="preserve"> invece </w:t>
      </w:r>
      <w:r w:rsidR="00014F1E">
        <w:t>le cessazioni</w:t>
      </w:r>
      <w:r w:rsidR="008334E8">
        <w:t>,</w:t>
      </w:r>
      <w:r w:rsidR="00014F1E">
        <w:t xml:space="preserve"> e quindi i saldi sono </w:t>
      </w:r>
      <w:r w:rsidR="00095E5C">
        <w:t>divenuti</w:t>
      </w:r>
      <w:r>
        <w:t xml:space="preserve"> negativi</w:t>
      </w:r>
      <w:r w:rsidR="00014F1E">
        <w:t xml:space="preserve">. A </w:t>
      </w:r>
      <w:proofErr w:type="gramStart"/>
      <w:r>
        <w:t>Dicembre</w:t>
      </w:r>
      <w:proofErr w:type="gramEnd"/>
      <w:r>
        <w:t xml:space="preserve"> </w:t>
      </w:r>
      <w:r w:rsidR="00E454BF">
        <w:t>è emerso</w:t>
      </w:r>
      <w:r w:rsidR="00014F1E">
        <w:t xml:space="preserve"> </w:t>
      </w:r>
      <w:r w:rsidR="00E454BF">
        <w:t xml:space="preserve">un </w:t>
      </w:r>
      <w:r w:rsidR="00014F1E">
        <w:t xml:space="preserve">nuovo saldo positivo </w:t>
      </w:r>
      <w:r w:rsidR="00057C48">
        <w:t>per i contratti a termine</w:t>
      </w:r>
      <w:r w:rsidR="00F627D7">
        <w:t>,</w:t>
      </w:r>
      <w:r w:rsidR="00057C48">
        <w:t xml:space="preserve"> sostenuto </w:t>
      </w:r>
      <w:r w:rsidR="00E454BF">
        <w:t xml:space="preserve">dalla </w:t>
      </w:r>
      <w:r w:rsidR="00057C48">
        <w:t>stagionalità natalizia</w:t>
      </w:r>
      <w:r w:rsidR="00F627D7">
        <w:t>,</w:t>
      </w:r>
      <w:r w:rsidR="00057C48">
        <w:t xml:space="preserve"> </w:t>
      </w:r>
      <w:r w:rsidR="00E454BF">
        <w:t xml:space="preserve">ma i </w:t>
      </w:r>
      <w:r w:rsidR="00014F1E">
        <w:t xml:space="preserve">volumi </w:t>
      </w:r>
      <w:r w:rsidR="00095E5C">
        <w:t xml:space="preserve">dei movimenti </w:t>
      </w:r>
      <w:r w:rsidR="00E454BF">
        <w:t>sono risultati</w:t>
      </w:r>
      <w:r w:rsidR="00014F1E">
        <w:t xml:space="preserve"> </w:t>
      </w:r>
      <w:r w:rsidR="00E454BF">
        <w:t>contenuti</w:t>
      </w:r>
      <w:r w:rsidR="00014F1E">
        <w:t xml:space="preserve">. </w:t>
      </w:r>
      <w:r>
        <w:t xml:space="preserve"> </w:t>
      </w:r>
    </w:p>
    <w:p w14:paraId="20542C60" w14:textId="015766A6" w:rsidR="00CC7C2C" w:rsidRDefault="00420882" w:rsidP="00420882">
      <w:pPr>
        <w:jc w:val="both"/>
      </w:pPr>
      <w:r>
        <w:t>O</w:t>
      </w:r>
      <w:r w:rsidR="00F627D7">
        <w:t>sservando gli andamenti delle attivazioni nette cumulate dei nuovi contratti di lavoro</w:t>
      </w:r>
      <w:r>
        <w:t xml:space="preserve"> emerge un chiaro rallentamento del mercato del lavoro nell</w:t>
      </w:r>
      <w:r w:rsidR="00E376FC">
        <w:t>’</w:t>
      </w:r>
      <w:r>
        <w:t xml:space="preserve">ultimo bimestre del 2022. </w:t>
      </w:r>
      <w:r w:rsidR="00E376FC">
        <w:t>Dopo i primi 10 mesi in cui sono state raggiunte +345mila attivazioni nette, n</w:t>
      </w:r>
      <w:r>
        <w:t xml:space="preserve">ei due mesi finali </w:t>
      </w:r>
      <w:r w:rsidR="00861E99">
        <w:t xml:space="preserve">dell’anno </w:t>
      </w:r>
      <w:r>
        <w:t xml:space="preserve">le attivazioni nette sono scese </w:t>
      </w:r>
      <w:r w:rsidR="00E376FC">
        <w:t xml:space="preserve">infatti </w:t>
      </w:r>
      <w:r>
        <w:t xml:space="preserve">a 28mila a </w:t>
      </w:r>
      <w:proofErr w:type="gramStart"/>
      <w:r>
        <w:t>Novembre</w:t>
      </w:r>
      <w:proofErr w:type="gramEnd"/>
      <w:r>
        <w:t xml:space="preserve"> </w:t>
      </w:r>
      <w:r w:rsidR="00E376FC">
        <w:t xml:space="preserve">e a </w:t>
      </w:r>
      <w:r>
        <w:t>9mila a Dicembre</w:t>
      </w:r>
      <w:r w:rsidR="00E376FC">
        <w:t xml:space="preserve">. </w:t>
      </w:r>
      <w:r w:rsidR="00E454BF">
        <w:t xml:space="preserve">  </w:t>
      </w:r>
    </w:p>
    <w:p w14:paraId="53BD6423" w14:textId="1109AB39" w:rsidR="00F627D7" w:rsidRDefault="00994625" w:rsidP="00CC7C2C">
      <w:pPr>
        <w:jc w:val="both"/>
      </w:pPr>
      <w:r>
        <w:t>Una lettura</w:t>
      </w:r>
      <w:r w:rsidR="00CC7C2C">
        <w:t xml:space="preserve"> per </w:t>
      </w:r>
      <w:r w:rsidR="00F627D7">
        <w:t xml:space="preserve">settori </w:t>
      </w:r>
      <w:r w:rsidR="00E376FC">
        <w:t xml:space="preserve">delle attivazioni nette </w:t>
      </w:r>
      <w:r w:rsidR="00CC7C2C">
        <w:t xml:space="preserve">aiuta a spiegare </w:t>
      </w:r>
      <w:r w:rsidR="00E376FC">
        <w:t xml:space="preserve">meglio </w:t>
      </w:r>
      <w:r w:rsidR="00F627D7">
        <w:t xml:space="preserve">gli andamenti </w:t>
      </w:r>
      <w:r>
        <w:t>inquadrati nell’</w:t>
      </w:r>
      <w:r w:rsidR="00CC7C2C">
        <w:t>ultima parte dell’anno</w:t>
      </w:r>
      <w:r w:rsidR="00861E99">
        <w:t xml:space="preserve"> </w:t>
      </w:r>
      <w:r w:rsidR="00F627D7">
        <w:t xml:space="preserve">: </w:t>
      </w:r>
    </w:p>
    <w:p w14:paraId="23B78608" w14:textId="72263691" w:rsidR="00F627D7" w:rsidRDefault="00F627D7" w:rsidP="00F627D7">
      <w:pPr>
        <w:pStyle w:val="Paragrafoelenco"/>
        <w:numPr>
          <w:ilvl w:val="0"/>
          <w:numId w:val="8"/>
        </w:numPr>
        <w:jc w:val="both"/>
      </w:pPr>
      <w:r>
        <w:t>sino alla fine dell’estate 2022 la domanda di lavoro è stata trainata soprattutto dal turismo che aveva ripreso vigore fin dall’inizio della primavera</w:t>
      </w:r>
      <w:r w:rsidR="00CC7C2C">
        <w:t>,</w:t>
      </w:r>
      <w:r>
        <w:t xml:space="preserve"> a cui è seguito un rallentamento </w:t>
      </w:r>
      <w:r w:rsidR="00845883">
        <w:t>tra</w:t>
      </w:r>
      <w:r>
        <w:t xml:space="preserve"> Ottobre </w:t>
      </w:r>
      <w:r w:rsidR="00845883">
        <w:t xml:space="preserve">e </w:t>
      </w:r>
      <w:r>
        <w:t xml:space="preserve">Novembre </w:t>
      </w:r>
      <w:r w:rsidR="002E2800">
        <w:t>e</w:t>
      </w:r>
      <w:r>
        <w:t xml:space="preserve"> una nuova ripresa stagionale a Dicembre;</w:t>
      </w:r>
    </w:p>
    <w:p w14:paraId="21D3DF6D" w14:textId="75F031EE" w:rsidR="00CC7C2C" w:rsidRDefault="00CC7C2C" w:rsidP="00CC7C2C">
      <w:pPr>
        <w:pStyle w:val="Paragrafoelenco"/>
        <w:numPr>
          <w:ilvl w:val="0"/>
          <w:numId w:val="8"/>
        </w:numPr>
        <w:jc w:val="both"/>
      </w:pPr>
      <w:r>
        <w:t>f</w:t>
      </w:r>
      <w:r w:rsidR="00F627D7">
        <w:t>ino ai primi mesi del 2022 le costruzioni hanno fatto registrare ritmi di crescita eccezionalmente elevati. Dal secondo trimestre dello scorso anno l’espansione si è indebolita, fornendo un contributo modesto alla crescita delle attivazioni nette</w:t>
      </w:r>
      <w:r>
        <w:t>. Hanno cominciato a pesare</w:t>
      </w:r>
      <w:r w:rsidR="00F627D7">
        <w:t xml:space="preserve"> le incertezze sui bonus edilizi che hanno frenato sempre più la domanda</w:t>
      </w:r>
      <w:r w:rsidR="00A16BCB">
        <w:t xml:space="preserve">, mentre </w:t>
      </w:r>
      <w:r w:rsidR="00845883">
        <w:t xml:space="preserve">ha pesato </w:t>
      </w:r>
      <w:r>
        <w:t>la crescita dei prezzi dei materiali</w:t>
      </w:r>
      <w:r w:rsidR="00F627D7">
        <w:t>;</w:t>
      </w:r>
    </w:p>
    <w:p w14:paraId="05744132" w14:textId="385D9A4E" w:rsidR="00F627D7" w:rsidRDefault="00F627D7" w:rsidP="00CC7C2C">
      <w:pPr>
        <w:pStyle w:val="Paragrafoelenco"/>
        <w:numPr>
          <w:ilvl w:val="0"/>
          <w:numId w:val="8"/>
        </w:numPr>
        <w:jc w:val="both"/>
      </w:pPr>
      <w:r>
        <w:t>nel manifatturiero la creazione dei posti di lavoro è proseguita, invece</w:t>
      </w:r>
      <w:r w:rsidR="00845883">
        <w:t>,</w:t>
      </w:r>
      <w:r>
        <w:t xml:space="preserve"> a tassi sostanzialmente costanti lungo tutto il 2022</w:t>
      </w:r>
      <w:r w:rsidR="0026688D">
        <w:t>, compresi</w:t>
      </w:r>
      <w:r>
        <w:t xml:space="preserve"> </w:t>
      </w:r>
      <w:r w:rsidR="008E5AA8">
        <w:t>gli</w:t>
      </w:r>
      <w:r>
        <w:t xml:space="preserve"> ultimi due mesi dell’anno, nonostante un rallentamento delle attivazioni nette nei comparti a maggiore intensità energetica (che impiegano circa un terzo dell’occupazione manifatturiera</w:t>
      </w:r>
      <w:r w:rsidR="00142629">
        <w:t>,</w:t>
      </w:r>
      <w:r>
        <w:t xml:space="preserve"> comprendendo grandi settori come le industrie alimentari, la chimica e gomma e plastica, i prodotti di minerali non metalliferi e la metallurgia).</w:t>
      </w:r>
    </w:p>
    <w:p w14:paraId="2CCCDD11" w14:textId="4802A938" w:rsidR="003B760A" w:rsidRDefault="00E376FC" w:rsidP="00CC7C2C">
      <w:pPr>
        <w:jc w:val="both"/>
      </w:pPr>
      <w:r>
        <w:t xml:space="preserve">Un </w:t>
      </w:r>
      <w:r w:rsidR="00F627D7" w:rsidRPr="00E376FC">
        <w:t>ulteri</w:t>
      </w:r>
      <w:r w:rsidR="00CC7C2C" w:rsidRPr="00E376FC">
        <w:t>o</w:t>
      </w:r>
      <w:r w:rsidR="00F627D7" w:rsidRPr="00E376FC">
        <w:t>re a</w:t>
      </w:r>
      <w:r w:rsidR="00CC7C2C" w:rsidRPr="00E376FC">
        <w:t>sp</w:t>
      </w:r>
      <w:r w:rsidR="00F627D7" w:rsidRPr="00E376FC">
        <w:t xml:space="preserve">etto che si evince dalle comunicazioni obbligatorie è la dinamica a due velocità </w:t>
      </w:r>
      <w:r w:rsidR="000C4C7C">
        <w:t xml:space="preserve">che ha riguardato le attivazioni rispetto all’asse geografico </w:t>
      </w:r>
      <w:r w:rsidR="00F627D7" w:rsidRPr="00E376FC">
        <w:t>Nord Sud</w:t>
      </w:r>
      <w:r w:rsidR="00845883">
        <w:t xml:space="preserve"> del paese</w:t>
      </w:r>
      <w:r w:rsidR="00F627D7" w:rsidRPr="00E376FC">
        <w:t xml:space="preserve">. La </w:t>
      </w:r>
      <w:r w:rsidR="003B760A" w:rsidRPr="00E376FC">
        <w:t xml:space="preserve">crescita </w:t>
      </w:r>
      <w:r w:rsidR="00F627D7" w:rsidRPr="00E376FC">
        <w:t xml:space="preserve">del mercato </w:t>
      </w:r>
      <w:r w:rsidR="003B760A" w:rsidRPr="00E376FC">
        <w:t>del 2022 si è concentrata</w:t>
      </w:r>
      <w:r w:rsidRPr="00E376FC">
        <w:t xml:space="preserve">, infatti, </w:t>
      </w:r>
      <w:r w:rsidR="003B760A" w:rsidRPr="00E376FC">
        <w:t>soprattutto nel Centro Nord</w:t>
      </w:r>
      <w:r w:rsidR="00014F1E" w:rsidRPr="00E376FC">
        <w:t xml:space="preserve"> e soprattutto nella prima parte del 2022. </w:t>
      </w:r>
      <w:r w:rsidR="003B760A" w:rsidRPr="00E376FC">
        <w:t xml:space="preserve">Nella seconda </w:t>
      </w:r>
      <w:r w:rsidR="003B760A" w:rsidRPr="00E376FC">
        <w:lastRenderedPageBreak/>
        <w:t>parte del</w:t>
      </w:r>
      <w:r w:rsidR="00014F1E" w:rsidRPr="00E376FC">
        <w:t>l’anno</w:t>
      </w:r>
      <w:r w:rsidR="002972C1" w:rsidRPr="00E376FC">
        <w:t xml:space="preserve"> </w:t>
      </w:r>
      <w:r w:rsidR="003B760A" w:rsidRPr="00E376FC">
        <w:t xml:space="preserve">la creazione di posti di lavoro ha rallentato nel Centro Nord e si è fermata nel Mezzogiorno, </w:t>
      </w:r>
      <w:proofErr w:type="gramStart"/>
      <w:r w:rsidR="00861E99">
        <w:t xml:space="preserve">dove </w:t>
      </w:r>
      <w:r w:rsidR="003B760A" w:rsidRPr="00E376FC">
        <w:t xml:space="preserve"> il</w:t>
      </w:r>
      <w:proofErr w:type="gramEnd"/>
      <w:r w:rsidR="003B760A" w:rsidRPr="00E376FC">
        <w:t xml:space="preserve"> saldo è risultato negativo per circa 12.000 unità</w:t>
      </w:r>
      <w:r w:rsidR="002972C1" w:rsidRPr="00E376FC">
        <w:t>. N</w:t>
      </w:r>
      <w:r w:rsidR="003B760A" w:rsidRPr="00E376FC">
        <w:t xml:space="preserve">elle regioni meridionali la fase espansiva si è interrotta una volta esaurita la spinta del comparto edile che aveva contribuito alla crescita occupazionale del 2022. </w:t>
      </w:r>
    </w:p>
    <w:p w14:paraId="0FEF9797" w14:textId="79F57461" w:rsidR="00393956" w:rsidRDefault="00393956" w:rsidP="00057C48">
      <w:pPr>
        <w:jc w:val="both"/>
      </w:pPr>
      <w:r>
        <w:t>In sintesi</w:t>
      </w:r>
      <w:r w:rsidR="00CC7C2C">
        <w:t>,</w:t>
      </w:r>
      <w:r>
        <w:t xml:space="preserve"> n</w:t>
      </w:r>
      <w:r w:rsidR="00E30DCF">
        <w:t xml:space="preserve">el corso del 2022 il recupero dell’occupazione </w:t>
      </w:r>
      <w:r w:rsidR="00CC7C2C">
        <w:t xml:space="preserve">è proseguito nel solco di </w:t>
      </w:r>
      <w:r w:rsidR="00E30DCF">
        <w:t xml:space="preserve">una tendenza già in atto </w:t>
      </w:r>
      <w:r>
        <w:t xml:space="preserve">a partire </w:t>
      </w:r>
      <w:r w:rsidR="00E30DCF">
        <w:t>dalla seconda metà del 2021</w:t>
      </w:r>
      <w:r w:rsidR="00142629">
        <w:t>,</w:t>
      </w:r>
      <w:r>
        <w:t xml:space="preserve"> </w:t>
      </w:r>
      <w:r w:rsidR="00845883">
        <w:t>con le</w:t>
      </w:r>
      <w:r w:rsidR="00E30DCF">
        <w:t xml:space="preserve"> imprese torna</w:t>
      </w:r>
      <w:r w:rsidR="00845883">
        <w:t>t</w:t>
      </w:r>
      <w:r w:rsidR="00E30DCF">
        <w:t>e ad assumere con contratti permanenti o a trasformare le posizioni temporanee attivate nei mesi precedenti in contratti a tempo indeterminato</w:t>
      </w:r>
      <w:r w:rsidR="00845883">
        <w:t>,</w:t>
      </w:r>
      <w:r w:rsidR="00E933FD">
        <w:t xml:space="preserve"> </w:t>
      </w:r>
      <w:r w:rsidR="00CC7C2C">
        <w:t>in considerazione del consolidamento progressivo della ripresa post pandemica.</w:t>
      </w:r>
      <w:r w:rsidR="00057C48">
        <w:t xml:space="preserve"> </w:t>
      </w:r>
    </w:p>
    <w:p w14:paraId="777FFDB6" w14:textId="7136C8AD" w:rsidR="000B05EC" w:rsidRDefault="00393956" w:rsidP="00057C48">
      <w:pPr>
        <w:jc w:val="both"/>
      </w:pPr>
      <w:r>
        <w:t>Nei primi due mesi del</w:t>
      </w:r>
      <w:r w:rsidR="00EA4E85">
        <w:t xml:space="preserve"> 2022</w:t>
      </w:r>
      <w:r>
        <w:t xml:space="preserve"> la </w:t>
      </w:r>
      <w:r w:rsidR="00057C48" w:rsidRPr="00047D42">
        <w:t>dinamica di prudente adattamento al ciclo della ripresa da parte delle imprese</w:t>
      </w:r>
      <w:r w:rsidR="00DD4EB3">
        <w:t>,</w:t>
      </w:r>
      <w:r w:rsidR="000B05EC">
        <w:t xml:space="preserve"> oltre che portare a </w:t>
      </w:r>
      <w:r w:rsidR="00057C48" w:rsidRPr="00047D42">
        <w:t xml:space="preserve">programmare nuove assunzioni a lungo </w:t>
      </w:r>
      <w:r w:rsidR="00DD4EB3" w:rsidRPr="00047D42">
        <w:t>termine</w:t>
      </w:r>
      <w:r w:rsidR="00DD4EB3">
        <w:t>, è</w:t>
      </w:r>
      <w:r>
        <w:t xml:space="preserve"> stata accompagnata anche da una espansione della domanda di contratti a termine. </w:t>
      </w:r>
    </w:p>
    <w:p w14:paraId="64FF83C2" w14:textId="4E7F4769" w:rsidR="0001501F" w:rsidRDefault="00393956" w:rsidP="00845883">
      <w:pPr>
        <w:jc w:val="both"/>
      </w:pPr>
      <w:r>
        <w:t>Successivamente</w:t>
      </w:r>
      <w:r w:rsidR="000C4C7C">
        <w:t>,</w:t>
      </w:r>
      <w:r>
        <w:t xml:space="preserve"> </w:t>
      </w:r>
      <w:r w:rsidRPr="00047D42">
        <w:t>a partire dal secondo trimestre 202</w:t>
      </w:r>
      <w:r>
        <w:t>2 (con l’avvio ed il perdurare del conflitto russo</w:t>
      </w:r>
      <w:r w:rsidR="00DD4EB3">
        <w:t>-</w:t>
      </w:r>
      <w:r>
        <w:t>ucraino e della crisi geopolitica mond</w:t>
      </w:r>
      <w:r w:rsidR="000C4C7C">
        <w:t>i</w:t>
      </w:r>
      <w:r>
        <w:t xml:space="preserve">ale che ne è scaturita), si è assistito ad una frenata progressiva della domanda </w:t>
      </w:r>
      <w:r w:rsidRPr="00047D42">
        <w:t>dell’occupazione a termine</w:t>
      </w:r>
      <w:r w:rsidR="00CC7C2C">
        <w:t xml:space="preserve">, </w:t>
      </w:r>
      <w:r w:rsidR="000B05EC">
        <w:t>senza che venisse meno la dinamica di ricostituzione di una base occupazionale stabile</w:t>
      </w:r>
      <w:r w:rsidR="00CC7C2C">
        <w:t xml:space="preserve">. Questo andamento si è protratto </w:t>
      </w:r>
      <w:r w:rsidR="00057C48">
        <w:t>almeno sino al terzo trimestre 2022</w:t>
      </w:r>
      <w:r w:rsidR="000C4C7C">
        <w:t>. Successivamente</w:t>
      </w:r>
      <w:r w:rsidR="00DD4EB3">
        <w:t>,</w:t>
      </w:r>
      <w:r w:rsidR="000C4C7C">
        <w:t xml:space="preserve"> </w:t>
      </w:r>
      <w:r w:rsidR="00DD4EB3">
        <w:t>a causa dell’inasprimento del</w:t>
      </w:r>
      <w:r w:rsidR="000C4C7C">
        <w:t xml:space="preserve"> conflitto</w:t>
      </w:r>
      <w:r w:rsidR="00071FAF">
        <w:t>,</w:t>
      </w:r>
      <w:r w:rsidR="00165A2B">
        <w:t xml:space="preserve"> </w:t>
      </w:r>
      <w:r w:rsidR="00095E5C">
        <w:t xml:space="preserve">con </w:t>
      </w:r>
      <w:r w:rsidR="00165A2B" w:rsidRPr="007C3F49">
        <w:t>la percezione di una sempre più elevata esposizione allo shock del prezzo del gas</w:t>
      </w:r>
      <w:r w:rsidR="0001501F">
        <w:t xml:space="preserve"> e </w:t>
      </w:r>
      <w:r w:rsidR="00071FAF">
        <w:t>delle</w:t>
      </w:r>
      <w:r w:rsidR="00845883">
        <w:t xml:space="preserve"> difficoltà </w:t>
      </w:r>
      <w:r w:rsidR="0001501F">
        <w:t>negli approvvigionamenti</w:t>
      </w:r>
      <w:r w:rsidR="00992EA4">
        <w:t xml:space="preserve">, </w:t>
      </w:r>
      <w:r w:rsidR="00095E5C">
        <w:t>e</w:t>
      </w:r>
      <w:r w:rsidR="00505F1D">
        <w:t xml:space="preserve"> </w:t>
      </w:r>
      <w:r w:rsidR="00611508">
        <w:t xml:space="preserve">la </w:t>
      </w:r>
      <w:r w:rsidR="0001501F">
        <w:t>prospettiva</w:t>
      </w:r>
      <w:r w:rsidR="00165A2B" w:rsidRPr="007C3F49">
        <w:t xml:space="preserve"> </w:t>
      </w:r>
      <w:r w:rsidR="007C3F49">
        <w:t xml:space="preserve">di </w:t>
      </w:r>
      <w:r w:rsidR="0001501F">
        <w:t xml:space="preserve">dover fronteggiare </w:t>
      </w:r>
      <w:r w:rsidR="001D4841">
        <w:t>l’</w:t>
      </w:r>
      <w:r w:rsidR="00165A2B" w:rsidRPr="007C3F49">
        <w:t xml:space="preserve">impatto dell’aumento dei prezzi sui consumi privati, </w:t>
      </w:r>
      <w:r w:rsidR="00165A2B">
        <w:t xml:space="preserve">la </w:t>
      </w:r>
      <w:r w:rsidR="00845883">
        <w:t xml:space="preserve">dinamica </w:t>
      </w:r>
      <w:r w:rsidR="00095E5C">
        <w:t xml:space="preserve">della </w:t>
      </w:r>
      <w:r w:rsidR="00165A2B">
        <w:t xml:space="preserve">domanda di lavoro </w:t>
      </w:r>
      <w:r w:rsidR="007C3F49">
        <w:t>si è ridimensionata</w:t>
      </w:r>
      <w:r w:rsidR="00845883">
        <w:t>,</w:t>
      </w:r>
      <w:r w:rsidR="007C3F49">
        <w:t xml:space="preserve"> </w:t>
      </w:r>
      <w:r w:rsidR="00861E99">
        <w:t>frenando</w:t>
      </w:r>
      <w:r w:rsidR="007C3F49">
        <w:t xml:space="preserve"> anche la </w:t>
      </w:r>
      <w:r w:rsidR="002260A4">
        <w:t>componente a tempo indeterminato</w:t>
      </w:r>
      <w:r w:rsidR="00FA2BDE">
        <w:t xml:space="preserve">. </w:t>
      </w:r>
    </w:p>
    <w:p w14:paraId="4044E0C9" w14:textId="53C32880" w:rsidR="00EA4E85" w:rsidRDefault="00EA4E85" w:rsidP="00EA4E85">
      <w:pPr>
        <w:jc w:val="both"/>
      </w:pPr>
      <w:r w:rsidRPr="00095E5C">
        <w:t xml:space="preserve">Per quanto riguarda gli andamenti previsti nel </w:t>
      </w:r>
      <w:proofErr w:type="gramStart"/>
      <w:r w:rsidRPr="00095E5C">
        <w:t>2023</w:t>
      </w:r>
      <w:r w:rsidR="00095E5C">
        <w:t>,</w:t>
      </w:r>
      <w:r w:rsidRPr="00095E5C">
        <w:t xml:space="preserve">  </w:t>
      </w:r>
      <w:r w:rsidR="00095E5C">
        <w:t>l’</w:t>
      </w:r>
      <w:r w:rsidRPr="00095E5C">
        <w:t>elevata</w:t>
      </w:r>
      <w:proofErr w:type="gramEnd"/>
      <w:r>
        <w:t xml:space="preserve"> inflazione, sostenuta dall’andamento dei prezzi delle materie prime energetiche e </w:t>
      </w:r>
      <w:r w:rsidR="00861E99">
        <w:t xml:space="preserve">accompagnata </w:t>
      </w:r>
      <w:r>
        <w:t xml:space="preserve">dall’orientamento restrittivo della politica monetaria </w:t>
      </w:r>
      <w:r w:rsidR="00551480">
        <w:t>(nel contesto d</w:t>
      </w:r>
      <w:r w:rsidR="00095E5C">
        <w:t xml:space="preserve">ella destabilizzazione </w:t>
      </w:r>
      <w:r w:rsidR="0031550A">
        <w:t>innescata dal</w:t>
      </w:r>
      <w:r w:rsidR="00551480">
        <w:t xml:space="preserve"> conflitto perdurante tra Russia e Ucraina)</w:t>
      </w:r>
      <w:r w:rsidR="00095E5C">
        <w:t xml:space="preserve">, </w:t>
      </w:r>
      <w:r w:rsidR="00861E99">
        <w:t xml:space="preserve">è destinata a proseguire </w:t>
      </w:r>
      <w:r>
        <w:t>determin</w:t>
      </w:r>
      <w:r w:rsidR="00861E99">
        <w:t>ando</w:t>
      </w:r>
      <w:r>
        <w:t xml:space="preserve"> una decelerazione dell’economia che non potrà non avere conseguenze negative sulle dinamiche del mercato del lavoro. </w:t>
      </w:r>
    </w:p>
    <w:p w14:paraId="2C9F70AB" w14:textId="465B5A66" w:rsidR="00EA4E85" w:rsidRPr="00861E99" w:rsidRDefault="00EA4E85" w:rsidP="00EA4E85">
      <w:pPr>
        <w:jc w:val="both"/>
      </w:pPr>
      <w:r>
        <w:t xml:space="preserve">Il calo occupazionale, secondo le previsioni Istat di </w:t>
      </w:r>
      <w:proofErr w:type="gramStart"/>
      <w:r>
        <w:t>Dicembre</w:t>
      </w:r>
      <w:proofErr w:type="gramEnd"/>
      <w:r>
        <w:rPr>
          <w:rStyle w:val="Rimandonotaapidipagina"/>
        </w:rPr>
        <w:footnoteReference w:id="21"/>
      </w:r>
      <w:r>
        <w:t xml:space="preserve">, sarà comunque contenuto, </w:t>
      </w:r>
      <w:r w:rsidRPr="00861E99">
        <w:t>con un tasso atteso di disoccupazione nel 2023 pari all’8,2%, con un limitato peggioramento rispetto al dato di Dicembre 2022</w:t>
      </w:r>
      <w:r w:rsidR="00861E99">
        <w:t xml:space="preserve"> che è stato</w:t>
      </w:r>
      <w:r w:rsidRPr="00861E99">
        <w:t xml:space="preserve"> pari a 7,8%. </w:t>
      </w:r>
    </w:p>
    <w:p w14:paraId="2D70521E" w14:textId="59BC6C9C" w:rsidR="00EA4E85" w:rsidRDefault="00EA4E85" w:rsidP="00EA4E85">
      <w:pPr>
        <w:jc w:val="both"/>
      </w:pPr>
      <w:r>
        <w:t xml:space="preserve">Per quanto riguarda la previsione dell’occupazione misurata in termini di </w:t>
      </w:r>
      <w:r w:rsidRPr="006D3873">
        <w:t>ULA, che indicano il volume di lavoro totale (regolare e non) espresso in unità di lavoro equivalenti a tempo pieno</w:t>
      </w:r>
      <w:r w:rsidRPr="006D3873">
        <w:rPr>
          <w:rStyle w:val="Rimandonotaapidipagina"/>
        </w:rPr>
        <w:footnoteReference w:id="22"/>
      </w:r>
      <w:r w:rsidRPr="006D3873">
        <w:t>, Istat indicava una crescita nel 2023 (+0,5%). Invece, nel 2022 le ULA erano cresciute del 4,</w:t>
      </w:r>
      <w:r>
        <w:t>5%, sospinte dalla ripresa post pandemica.</w:t>
      </w:r>
    </w:p>
    <w:p w14:paraId="490B0D3C" w14:textId="02945D85" w:rsidR="00EA4E85" w:rsidRDefault="00EA4E85" w:rsidP="00EA4E85">
      <w:pPr>
        <w:jc w:val="both"/>
      </w:pPr>
      <w:r>
        <w:t xml:space="preserve">Al di là del lieve incremento della disoccupazione attesa nel 2023, occorrerà verificare quali componenti della domanda </w:t>
      </w:r>
      <w:r w:rsidRPr="007C3F49">
        <w:t>di lavoro</w:t>
      </w:r>
      <w:r>
        <w:t xml:space="preserve"> saranno maggiormente coinvolte dai cali occupazionali. Dopo la forte crescita della componente a tempo indeterminato nel corso del 2022, con un corrispondente calo della domanda di lavoro a termine, nel 2023 potrebbe innescarsi una dinamica di ricomposizione della domanda a vantaggio del lavoro a tempo determinato, soprattutto in caso di maggiore frenata dell’economia e in un clima di incertezza </w:t>
      </w:r>
      <w:r>
        <w:lastRenderedPageBreak/>
        <w:t>e instabilità globale crescente</w:t>
      </w:r>
      <w:r w:rsidR="0031550A">
        <w:t xml:space="preserve">, </w:t>
      </w:r>
      <w:r>
        <w:t xml:space="preserve"> collegato a una maggiore ricerca di </w:t>
      </w:r>
      <w:r w:rsidRPr="007C3F49">
        <w:t>flessibil</w:t>
      </w:r>
      <w:r>
        <w:t xml:space="preserve">ità del  lavoro, oltre quella che ormai anche i contratti permanenti sono in grado di offrire. </w:t>
      </w:r>
    </w:p>
    <w:p w14:paraId="48078373" w14:textId="731706E7" w:rsidR="00EA4E85" w:rsidRPr="006D3873" w:rsidRDefault="00EA4E85" w:rsidP="00EA4E85">
      <w:pPr>
        <w:jc w:val="both"/>
      </w:pPr>
      <w:r w:rsidRPr="006D3873">
        <w:t>I dati di Gennaio 2023 indicano in realtà come le dinamiche del mercato del lavoro siano ancora</w:t>
      </w:r>
      <w:r w:rsidR="006D3873">
        <w:t xml:space="preserve"> orientate a premiare la componente a tempo indeterminato dell’occupazione. Si intravedono però segnali di frenata che potrebbero cambiare i futuri andamenti. </w:t>
      </w:r>
      <w:r w:rsidRPr="006D3873">
        <w:t>Da un lato si è registrata</w:t>
      </w:r>
      <w:r w:rsidR="006D3873">
        <w:t>, infatti,</w:t>
      </w:r>
      <w:r w:rsidRPr="006D3873">
        <w:t xml:space="preserve"> una ulteriore crescita dell’occupazione, arrivata a superare 23 milioni e 300 mila unità, raggiungendo un nuovo picco storico. Dall’altro lato, è emerso un primo cambio di segno nell’andamento del tasso di disoccupazione, che dopo tredici mesi consecutivi di discesa è risalito al 7,9% (+0,1 punti rispetto a </w:t>
      </w:r>
      <w:proofErr w:type="gramStart"/>
      <w:r w:rsidRPr="006D3873">
        <w:t>Dicembre</w:t>
      </w:r>
      <w:proofErr w:type="gramEnd"/>
      <w:r w:rsidRPr="006D3873">
        <w:t>), dando un</w:t>
      </w:r>
      <w:r w:rsidR="0031550A" w:rsidRPr="006D3873">
        <w:t>a</w:t>
      </w:r>
      <w:r w:rsidRPr="006D3873">
        <w:t xml:space="preserve"> prima evidenza di rallentamento che confermerebbe la dinamica incerta prevista per il 2023.   </w:t>
      </w:r>
    </w:p>
    <w:p w14:paraId="634AA5A5" w14:textId="61EC4794" w:rsidR="00EA4E85" w:rsidRDefault="00EA4E85" w:rsidP="00EA4E85">
      <w:pPr>
        <w:jc w:val="both"/>
      </w:pPr>
      <w:r w:rsidRPr="00E47E70">
        <w:t xml:space="preserve">Nello scenario </w:t>
      </w:r>
      <w:r w:rsidR="00551480">
        <w:t>ambiguo</w:t>
      </w:r>
      <w:r w:rsidRPr="00E47E70">
        <w:t xml:space="preserve"> di inizio anno va segnalato anch</w:t>
      </w:r>
      <w:r w:rsidRPr="006D3873">
        <w:t xml:space="preserve">e il nuovo picco storico del tasso di occupazione, che è salito ancora raggiungendo il 60,8%. Tale andamento positivo trova conferme nella discesa al 33,9% del tasso di inattività (-0,2 punti). </w:t>
      </w:r>
    </w:p>
    <w:p w14:paraId="79E6E729" w14:textId="0810B03E" w:rsidR="00551480" w:rsidRDefault="00EA4E85" w:rsidP="00EA4E85">
      <w:pPr>
        <w:jc w:val="both"/>
      </w:pPr>
      <w:r w:rsidRPr="00E47E70">
        <w:t xml:space="preserve">Rispetto a Gennaio 2022, </w:t>
      </w:r>
      <w:r>
        <w:t xml:space="preserve">il dato positivo rilevato dall’Istat a Gennaio 2023 </w:t>
      </w:r>
      <w:r w:rsidRPr="00E47E70">
        <w:t>(+4</w:t>
      </w:r>
      <w:r>
        <w:t xml:space="preserve">64 </w:t>
      </w:r>
      <w:r w:rsidRPr="00E47E70">
        <w:t xml:space="preserve">mila </w:t>
      </w:r>
      <w:r>
        <w:t>oc</w:t>
      </w:r>
      <w:r w:rsidRPr="00E47E70">
        <w:t>cupati</w:t>
      </w:r>
      <w:r>
        <w:t>) è stato determinato</w:t>
      </w:r>
      <w:r w:rsidR="006D3873">
        <w:t>, quindi,</w:t>
      </w:r>
      <w:r>
        <w:t xml:space="preserve"> ancora una volta </w:t>
      </w:r>
      <w:r w:rsidRPr="00E47E70">
        <w:t>in gran parte dai dipendenti permanenti, con</w:t>
      </w:r>
      <w:r>
        <w:t xml:space="preserve"> </w:t>
      </w:r>
      <w:r w:rsidRPr="00E47E70">
        <w:t xml:space="preserve">un contributo </w:t>
      </w:r>
      <w:r>
        <w:t xml:space="preserve">positivo </w:t>
      </w:r>
      <w:r w:rsidRPr="00E47E70">
        <w:t>anche d</w:t>
      </w:r>
      <w:r>
        <w:t>e</w:t>
      </w:r>
      <w:r w:rsidRPr="00E47E70">
        <w:t xml:space="preserve">gli autonomi, mentre il numero di </w:t>
      </w:r>
      <w:r w:rsidRPr="00761650">
        <w:t xml:space="preserve">dipendenti a termine è sceso ancora: il calo di questo gruppo rispetto a Gennaio 2022 è stato di circa 47 mila unità. </w:t>
      </w:r>
    </w:p>
    <w:p w14:paraId="41C1A719" w14:textId="2C1A0E08" w:rsidR="00EA4E85" w:rsidRPr="00E47E70" w:rsidRDefault="00EA4E85" w:rsidP="00EA4E85">
      <w:pPr>
        <w:jc w:val="both"/>
      </w:pPr>
      <w:r w:rsidRPr="00761650">
        <w:t xml:space="preserve">La preferenza </w:t>
      </w:r>
      <w:r w:rsidR="0031550A">
        <w:t xml:space="preserve">della domanda </w:t>
      </w:r>
      <w:r>
        <w:t>verso i</w:t>
      </w:r>
      <w:r w:rsidRPr="00761650">
        <w:t xml:space="preserve"> contratti permanenti in avvio del 2023 sembra</w:t>
      </w:r>
      <w:r w:rsidR="006D3873">
        <w:t xml:space="preserve">, </w:t>
      </w:r>
      <w:proofErr w:type="gramStart"/>
      <w:r w:rsidR="006D3873">
        <w:t xml:space="preserve">comunque, </w:t>
      </w:r>
      <w:r w:rsidRPr="00761650">
        <w:t xml:space="preserve"> </w:t>
      </w:r>
      <w:r w:rsidR="0031550A">
        <w:t>confermare</w:t>
      </w:r>
      <w:proofErr w:type="gramEnd"/>
      <w:r w:rsidR="0031550A">
        <w:t xml:space="preserve"> la tendenza</w:t>
      </w:r>
      <w:r w:rsidRPr="00761650">
        <w:t xml:space="preserve"> </w:t>
      </w:r>
      <w:r w:rsidR="0031550A">
        <w:t xml:space="preserve">a una </w:t>
      </w:r>
      <w:r w:rsidRPr="00761650">
        <w:t xml:space="preserve">nuova predisposizione dei datori ad assumere con </w:t>
      </w:r>
      <w:r w:rsidR="0031550A">
        <w:t xml:space="preserve">questa tipologia di </w:t>
      </w:r>
      <w:r w:rsidRPr="00761650">
        <w:t>contratti</w:t>
      </w:r>
      <w:r>
        <w:t>,</w:t>
      </w:r>
      <w:r w:rsidRPr="00761650">
        <w:t xml:space="preserve"> nella consapevolezza che </w:t>
      </w:r>
      <w:r w:rsidR="0031550A">
        <w:t>essi possano</w:t>
      </w:r>
      <w:r w:rsidRPr="00761650">
        <w:t xml:space="preserve"> garanti</w:t>
      </w:r>
      <w:r w:rsidR="0031550A">
        <w:t>re</w:t>
      </w:r>
      <w:r w:rsidRPr="00761650">
        <w:t xml:space="preserve"> continuità occupazionale fidelizzan</w:t>
      </w:r>
      <w:r w:rsidR="0031550A">
        <w:t>d</w:t>
      </w:r>
      <w:r w:rsidRPr="00761650">
        <w:t>o i profili più utili</w:t>
      </w:r>
      <w:r>
        <w:t>,</w:t>
      </w:r>
      <w:r w:rsidRPr="00761650">
        <w:t xml:space="preserve"> </w:t>
      </w:r>
      <w:r w:rsidR="0031550A">
        <w:t xml:space="preserve">pur </w:t>
      </w:r>
      <w:r w:rsidRPr="00761650">
        <w:t xml:space="preserve">mantenendo ormai anche una </w:t>
      </w:r>
      <w:r>
        <w:t xml:space="preserve">dose </w:t>
      </w:r>
      <w:r w:rsidRPr="00761650">
        <w:t xml:space="preserve">relativa </w:t>
      </w:r>
      <w:r>
        <w:t xml:space="preserve">di </w:t>
      </w:r>
      <w:r w:rsidRPr="00761650">
        <w:t xml:space="preserve">flessibilità. </w:t>
      </w:r>
    </w:p>
    <w:p w14:paraId="692ECA41" w14:textId="77777777" w:rsidR="006D3873" w:rsidRDefault="00EA4E85" w:rsidP="00EA4E85">
      <w:pPr>
        <w:jc w:val="both"/>
      </w:pPr>
      <w:r>
        <w:t xml:space="preserve">Sull’andamento del mercato del lavoro nel 2023, oltre ai descritti macro-trend </w:t>
      </w:r>
      <w:r w:rsidR="006D3873">
        <w:t xml:space="preserve">in grado di condizionare lo sviluppo </w:t>
      </w:r>
      <w:r>
        <w:t>quali l’inflazione, le politiche monetarie restrittive e lo scenario di crisi geopolitica e militare che indeboliranno la domanda, vale la pena evidenziare anche driver specifici (in parte essi stessi conseguenza delle macro-dinamiche di fondo citate)</w:t>
      </w:r>
      <w:r w:rsidR="006D3873">
        <w:t xml:space="preserve">. </w:t>
      </w:r>
    </w:p>
    <w:p w14:paraId="3D344319" w14:textId="5D1B96B4" w:rsidR="00EA4E85" w:rsidRDefault="006D3873" w:rsidP="00EA4E85">
      <w:pPr>
        <w:jc w:val="both"/>
      </w:pPr>
      <w:r>
        <w:t xml:space="preserve">Dal lato della domanda </w:t>
      </w:r>
      <w:r w:rsidR="00EA4E85">
        <w:t xml:space="preserve">potrebbero ulteriormente </w:t>
      </w:r>
      <w:r>
        <w:t>frenare</w:t>
      </w:r>
      <w:r w:rsidR="00EA4E85">
        <w:t xml:space="preserve"> la domanda</w:t>
      </w:r>
      <w:r w:rsidR="00551480">
        <w:t xml:space="preserve"> </w:t>
      </w:r>
      <w:r>
        <w:t xml:space="preserve">di </w:t>
      </w:r>
      <w:r w:rsidR="00E64B32">
        <w:t>lavoro:</w:t>
      </w:r>
      <w:r w:rsidR="00EA4E85">
        <w:t xml:space="preserve">  </w:t>
      </w:r>
    </w:p>
    <w:p w14:paraId="18FEE7D5" w14:textId="5F403DEC" w:rsidR="00EA4E85" w:rsidRDefault="00EA4E85" w:rsidP="00EA4E85">
      <w:pPr>
        <w:pStyle w:val="Paragrafoelenco"/>
        <w:numPr>
          <w:ilvl w:val="0"/>
          <w:numId w:val="8"/>
        </w:numPr>
        <w:jc w:val="both"/>
      </w:pPr>
      <w:r>
        <w:t xml:space="preserve">la </w:t>
      </w:r>
      <w:r w:rsidRPr="00047D42">
        <w:t>scarsità di materie prime e semilavorati</w:t>
      </w:r>
      <w:r>
        <w:t>, oltre a determinare pressioni inflattive in caso di prolungamento dei deficit, potrebbe mettere a rischio le catene produttive e quindi l’occupazione</w:t>
      </w:r>
      <w:r w:rsidR="006D3873">
        <w:t xml:space="preserve">.  La </w:t>
      </w:r>
      <w:r>
        <w:t xml:space="preserve">quota di imprese che nell’ultimo trimestre del 2022 avevano segnalato questa preoccupazione </w:t>
      </w:r>
      <w:r w:rsidR="006D3873">
        <w:t xml:space="preserve">era </w:t>
      </w:r>
      <w:r>
        <w:t>pari al 18,6</w:t>
      </w:r>
      <w:r w:rsidR="00E64B32">
        <w:t>%;</w:t>
      </w:r>
      <w:r>
        <w:t xml:space="preserve">  </w:t>
      </w:r>
    </w:p>
    <w:p w14:paraId="06109061" w14:textId="77777777" w:rsidR="00EA4E85" w:rsidRDefault="00EA4E85" w:rsidP="00EA4E85">
      <w:pPr>
        <w:pStyle w:val="Paragrafoelenco"/>
        <w:numPr>
          <w:ilvl w:val="0"/>
          <w:numId w:val="8"/>
        </w:numPr>
        <w:jc w:val="both"/>
      </w:pPr>
      <w:r>
        <w:t>i rialzi dei prezzi dell’energia hanno già prodotto una frenata delle attivazioni nette di contratti di lavoro dei comparti più energivori. Questa tendenza è cominciata ad emergere a partire dalla seconda metà del 2022 e potrebbe ampliarsi con ulteriori effetti negativi sulla domanda di lavoro.</w:t>
      </w:r>
    </w:p>
    <w:p w14:paraId="447F7CFB" w14:textId="219D1294" w:rsidR="00EA4E85" w:rsidRPr="00C33A78" w:rsidRDefault="00EA4E85" w:rsidP="00EA4E85">
      <w:pPr>
        <w:jc w:val="both"/>
      </w:pPr>
      <w:r w:rsidRPr="00C33A78">
        <w:t xml:space="preserve">Dal lato dell’offerta </w:t>
      </w:r>
      <w:r>
        <w:t xml:space="preserve">di lavoro, </w:t>
      </w:r>
      <w:r w:rsidRPr="00C33A78">
        <w:t>inoltre</w:t>
      </w:r>
      <w:r>
        <w:t>,</w:t>
      </w:r>
      <w:r w:rsidRPr="00C33A78">
        <w:t xml:space="preserve"> si è cominciata a palesare in tutta l’area Euro (Italia compresa) una carenza di profili e occupati</w:t>
      </w:r>
      <w:r w:rsidR="0031550A">
        <w:t>,</w:t>
      </w:r>
      <w:r w:rsidRPr="00C33A78">
        <w:t xml:space="preserve"> </w:t>
      </w:r>
      <w:r w:rsidR="0031550A">
        <w:t xml:space="preserve">in grado di modificare gli equilibri nel mercato del lavoro, </w:t>
      </w:r>
      <w:r w:rsidRPr="00C33A78">
        <w:t xml:space="preserve">riconducibile a due trend di fondo: </w:t>
      </w:r>
    </w:p>
    <w:p w14:paraId="69EA754F" w14:textId="35823FB2" w:rsidR="00EA4E85" w:rsidRPr="00C33A78" w:rsidRDefault="00EA4E85" w:rsidP="00EA4E85">
      <w:pPr>
        <w:pStyle w:val="Paragrafoelenco"/>
        <w:numPr>
          <w:ilvl w:val="0"/>
          <w:numId w:val="8"/>
        </w:numPr>
        <w:jc w:val="both"/>
      </w:pPr>
      <w:r w:rsidRPr="00C33A78">
        <w:t xml:space="preserve">Da un lato si starebbe manifestando un irrigidimento dell’offerta di lavoro, una minore elasticità dovuta alla crescita del costo opportunità di non lavorare, come effetto dei cambiamenti </w:t>
      </w:r>
      <w:r w:rsidRPr="00C33A78">
        <w:lastRenderedPageBreak/>
        <w:t xml:space="preserve">comportamentali e sociali </w:t>
      </w:r>
      <w:r w:rsidR="001860E5">
        <w:t xml:space="preserve">innescati </w:t>
      </w:r>
      <w:r w:rsidRPr="00C33A78">
        <w:t>dalla pandemia stessa. L’elasticità si starebbe riadattando ma con un certo ritardo</w:t>
      </w:r>
      <w:r w:rsidRPr="00C33A78">
        <w:rPr>
          <w:rStyle w:val="Rimandonotaapidipagina"/>
        </w:rPr>
        <w:footnoteReference w:id="23"/>
      </w:r>
      <w:r w:rsidRPr="00C33A78">
        <w:t>.</w:t>
      </w:r>
    </w:p>
    <w:p w14:paraId="62A34684" w14:textId="77777777" w:rsidR="00EA4E85" w:rsidRPr="00C33A78" w:rsidRDefault="00EA4E85" w:rsidP="00EA4E85">
      <w:pPr>
        <w:pStyle w:val="Paragrafoelenco"/>
        <w:numPr>
          <w:ilvl w:val="0"/>
          <w:numId w:val="8"/>
        </w:numPr>
        <w:jc w:val="both"/>
      </w:pPr>
      <w:r w:rsidRPr="00C33A78">
        <w:t xml:space="preserve">L’altra ragione di carattere strutturale che sta determinando la crescente carenza di manodopera nel mercato del lavoro italiano ed europeo riguarda la rapida accelerazione degli sviluppi demografici rispetto al calo della popolazione in età lavorativa. </w:t>
      </w:r>
    </w:p>
    <w:p w14:paraId="2CD52898" w14:textId="6C22C7D7" w:rsidR="00EA4E85" w:rsidRDefault="00EA4E85" w:rsidP="00EA4E85">
      <w:pPr>
        <w:jc w:val="both"/>
      </w:pPr>
      <w:r>
        <w:t xml:space="preserve">La carenza di </w:t>
      </w:r>
      <w:r w:rsidRPr="00047D42">
        <w:t>manodopera</w:t>
      </w:r>
      <w:r>
        <w:t xml:space="preserve"> specifica si </w:t>
      </w:r>
      <w:r w:rsidR="001860E5">
        <w:t>sta già manifestando</w:t>
      </w:r>
      <w:r>
        <w:t xml:space="preserve"> chiaramente nel manifatturiero. Nell’ultimo trimestre 2022, questa problematica ha già inciso</w:t>
      </w:r>
      <w:r w:rsidR="001860E5">
        <w:t xml:space="preserve">, </w:t>
      </w:r>
      <w:r w:rsidR="00E64B32">
        <w:t>infatti, negativamente</w:t>
      </w:r>
      <w:r>
        <w:t xml:space="preserve"> sul livello produttivo nel 7,2% delle aziende</w:t>
      </w:r>
      <w:r w:rsidRPr="00047D42">
        <w:t xml:space="preserve"> </w:t>
      </w:r>
      <w:r>
        <w:t xml:space="preserve">manifatturiere (negli anni </w:t>
      </w:r>
      <w:proofErr w:type="spellStart"/>
      <w:r>
        <w:t>pre</w:t>
      </w:r>
      <w:proofErr w:type="spellEnd"/>
      <w:r w:rsidR="001860E5">
        <w:t xml:space="preserve"> </w:t>
      </w:r>
      <w:r>
        <w:t xml:space="preserve">pandemici solo l’1% delle imprese segnalava questa </w:t>
      </w:r>
      <w:r w:rsidR="00551480">
        <w:t>mancanza</w:t>
      </w:r>
      <w:r>
        <w:t>).</w:t>
      </w:r>
    </w:p>
    <w:p w14:paraId="0883259D" w14:textId="046A33E0" w:rsidR="00EA4E85" w:rsidRDefault="00EA4E85" w:rsidP="00EA4E85">
      <w:pPr>
        <w:jc w:val="both"/>
      </w:pPr>
      <w:r>
        <w:t xml:space="preserve">Il rischio di uno </w:t>
      </w:r>
      <w:proofErr w:type="spellStart"/>
      <w:r w:rsidRPr="00B4737B">
        <w:rPr>
          <w:i/>
          <w:iCs/>
        </w:rPr>
        <w:t>shortage</w:t>
      </w:r>
      <w:proofErr w:type="spellEnd"/>
      <w:r>
        <w:t xml:space="preserve"> di profili è presente anche rispetto alle figure professionali con </w:t>
      </w:r>
      <w:r w:rsidRPr="007C3F49">
        <w:t xml:space="preserve">competenze digitali o </w:t>
      </w:r>
      <w:r w:rsidR="0031550A">
        <w:t xml:space="preserve">con quelle </w:t>
      </w:r>
      <w:r>
        <w:t>adatte ad</w:t>
      </w:r>
      <w:r w:rsidRPr="007C3F49">
        <w:t xml:space="preserve"> accompagnare </w:t>
      </w:r>
      <w:r>
        <w:t>quei</w:t>
      </w:r>
      <w:r w:rsidRPr="007C3F49">
        <w:t xml:space="preserve"> processi che alimentano la transizione ecologica</w:t>
      </w:r>
      <w:r>
        <w:t>,</w:t>
      </w:r>
      <w:r w:rsidRPr="007C3F49">
        <w:t xml:space="preserve"> anche in settori tradizionali</w:t>
      </w:r>
      <w:r>
        <w:t xml:space="preserve"> e nei servizi.</w:t>
      </w:r>
    </w:p>
    <w:p w14:paraId="2A46BC12" w14:textId="77777777" w:rsidR="00EA4E85" w:rsidRDefault="00EA4E85" w:rsidP="00EA4E85">
      <w:pPr>
        <w:jc w:val="both"/>
      </w:pPr>
      <w:r>
        <w:t xml:space="preserve">I </w:t>
      </w:r>
      <w:r w:rsidRPr="00047D42">
        <w:t xml:space="preserve">fenomeni di mismatch </w:t>
      </w:r>
      <w:r>
        <w:t xml:space="preserve">tra domanda e offerta </w:t>
      </w:r>
      <w:r w:rsidRPr="00047D42">
        <w:t>gi</w:t>
      </w:r>
      <w:r>
        <w:t xml:space="preserve">à ben presenti </w:t>
      </w:r>
      <w:r w:rsidRPr="00047D42">
        <w:t>nel 2021</w:t>
      </w:r>
      <w:r>
        <w:t xml:space="preserve"> sono cresciuti </w:t>
      </w:r>
      <w:r w:rsidRPr="00047D42">
        <w:t>nel</w:t>
      </w:r>
      <w:r>
        <w:t xml:space="preserve"> corso del 2022, con il </w:t>
      </w:r>
      <w:r w:rsidRPr="00420684">
        <w:rPr>
          <w:b/>
          <w:bCs/>
        </w:rPr>
        <w:t>tasso di post</w:t>
      </w:r>
      <w:r>
        <w:rPr>
          <w:b/>
          <w:bCs/>
        </w:rPr>
        <w:t>i</w:t>
      </w:r>
      <w:r w:rsidRPr="00420684">
        <w:rPr>
          <w:b/>
          <w:bCs/>
        </w:rPr>
        <w:t xml:space="preserve"> vacanti</w:t>
      </w:r>
      <w:r>
        <w:t xml:space="preserve"> </w:t>
      </w:r>
      <w:r w:rsidRPr="00047D42">
        <w:t>che ha raggiunto nel quarto trimestre 202</w:t>
      </w:r>
      <w:r>
        <w:t>2</w:t>
      </w:r>
      <w:r w:rsidRPr="00047D42">
        <w:t xml:space="preserve"> </w:t>
      </w:r>
      <w:r>
        <w:t xml:space="preserve">un nuovo picco </w:t>
      </w:r>
      <w:r w:rsidRPr="00047D42">
        <w:t>storico</w:t>
      </w:r>
      <w:r>
        <w:t xml:space="preserve">: </w:t>
      </w:r>
      <w:r w:rsidRPr="00420684">
        <w:rPr>
          <w:b/>
          <w:bCs/>
        </w:rPr>
        <w:t>2,2%</w:t>
      </w:r>
      <w:r>
        <w:t>. Si tratta di una incidenza</w:t>
      </w:r>
      <w:r w:rsidRPr="00047D42">
        <w:t xml:space="preserve"> </w:t>
      </w:r>
      <w:r>
        <w:t xml:space="preserve">che equivale </w:t>
      </w:r>
      <w:r w:rsidRPr="00047D42">
        <w:t xml:space="preserve">ad oltre </w:t>
      </w:r>
      <w:r>
        <w:t>310</w:t>
      </w:r>
      <w:r w:rsidRPr="00047D42">
        <w:t xml:space="preserve"> mila posti </w:t>
      </w:r>
      <w:r>
        <w:t xml:space="preserve">di </w:t>
      </w:r>
      <w:r w:rsidRPr="00047D42">
        <w:t xml:space="preserve">lavoro </w:t>
      </w:r>
      <w:r>
        <w:t xml:space="preserve">alle dipendenze non coperti. </w:t>
      </w:r>
    </w:p>
    <w:p w14:paraId="28982A9E" w14:textId="3C9639E1" w:rsidR="00EA4E85" w:rsidRDefault="00EA4E85" w:rsidP="00551480">
      <w:pPr>
        <w:jc w:val="both"/>
      </w:pPr>
      <w:r>
        <w:t>Questo andamento rischia appunto di aggravarsi a causa delle dinamiche demografiche di invecchiamento della popolazione italiana in rapida accelerazione.</w:t>
      </w:r>
      <w:r w:rsidR="00551480">
        <w:t xml:space="preserve">      </w:t>
      </w:r>
    </w:p>
    <w:p w14:paraId="6DB253EB" w14:textId="77777777" w:rsidR="00EA4E85" w:rsidRDefault="00EA4E85" w:rsidP="004D2CCF">
      <w:pPr>
        <w:jc w:val="both"/>
      </w:pPr>
    </w:p>
    <w:p w14:paraId="6CB2A3D6" w14:textId="3959B845" w:rsidR="00424714" w:rsidRPr="00D02BC4" w:rsidRDefault="004D2CCF" w:rsidP="00D02BC4">
      <w:pPr>
        <w:jc w:val="both"/>
        <w:rPr>
          <w:b/>
          <w:bCs/>
        </w:rPr>
      </w:pPr>
      <w:r w:rsidRPr="00B80232">
        <w:rPr>
          <w:b/>
          <w:bCs/>
        </w:rPr>
        <w:t>La Somministrazione</w:t>
      </w:r>
      <w:r>
        <w:rPr>
          <w:b/>
          <w:bCs/>
        </w:rPr>
        <w:t xml:space="preserve"> in Italia </w:t>
      </w:r>
    </w:p>
    <w:p w14:paraId="7FD30940" w14:textId="651479D2" w:rsidR="007C3F49" w:rsidRDefault="003C01DC" w:rsidP="007C3F49">
      <w:pPr>
        <w:jc w:val="both"/>
      </w:pPr>
      <w:r w:rsidRPr="007C3F49">
        <w:t xml:space="preserve">Nel corso </w:t>
      </w:r>
      <w:r w:rsidR="00424714" w:rsidRPr="007C3F49">
        <w:t>del 2022 il numero medio mensile di occupati in Somministrazione è stato pari a</w:t>
      </w:r>
      <w:r w:rsidR="002271A5" w:rsidRPr="007C3F49">
        <w:t xml:space="preserve"> circa</w:t>
      </w:r>
      <w:r w:rsidR="00424714" w:rsidRPr="007C3F49">
        <w:t xml:space="preserve"> 515mila unità, contro le 47</w:t>
      </w:r>
      <w:r w:rsidR="00767989">
        <w:t>5</w:t>
      </w:r>
      <w:r w:rsidR="00424714" w:rsidRPr="007C3F49">
        <w:t xml:space="preserve">mila registrate nello stesso periodo dell’anno precedente, </w:t>
      </w:r>
      <w:r w:rsidR="00F90785">
        <w:t>40</w:t>
      </w:r>
      <w:r w:rsidR="007C3F49">
        <w:t xml:space="preserve">mila occupati </w:t>
      </w:r>
      <w:r w:rsidR="00F90785">
        <w:t xml:space="preserve">in più </w:t>
      </w:r>
      <w:r w:rsidR="00424714" w:rsidRPr="007C3F49">
        <w:t>pari ad una crescita de</w:t>
      </w:r>
      <w:r w:rsidR="007C3F49" w:rsidRPr="007C3F49">
        <w:t>l</w:t>
      </w:r>
      <w:r w:rsidR="00424714" w:rsidRPr="007C3F49">
        <w:t>l</w:t>
      </w:r>
      <w:r w:rsidR="00E933FD">
        <w:t>’</w:t>
      </w:r>
      <w:r w:rsidR="00913DCD" w:rsidRPr="007C3F49">
        <w:t>8</w:t>
      </w:r>
      <w:r w:rsidR="00424714" w:rsidRPr="007C3F49">
        <w:t>,</w:t>
      </w:r>
      <w:r w:rsidR="00913DCD" w:rsidRPr="007C3F49">
        <w:t>3</w:t>
      </w:r>
      <w:r w:rsidR="00424714" w:rsidRPr="007C3F49">
        <w:t>% tendenziale</w:t>
      </w:r>
      <w:r w:rsidR="00551480">
        <w:t xml:space="preserve"> </w:t>
      </w:r>
      <w:r w:rsidR="00424714" w:rsidRPr="007C3F49">
        <w:t>.</w:t>
      </w:r>
      <w:r w:rsidR="002271A5" w:rsidRPr="007C3F49">
        <w:t xml:space="preserve"> </w:t>
      </w:r>
    </w:p>
    <w:p w14:paraId="7FDADE3F" w14:textId="366ED82B" w:rsidR="00424714" w:rsidRPr="007C3F49" w:rsidRDefault="00424714" w:rsidP="007C3F49">
      <w:pPr>
        <w:jc w:val="both"/>
      </w:pPr>
      <w:r w:rsidRPr="007C3F49">
        <w:t>A Luglio 2022 la Somministrazione ha raggiunto il picco storico assoluto di addetti</w:t>
      </w:r>
      <w:r w:rsidR="00F17AE8">
        <w:t>,</w:t>
      </w:r>
      <w:r w:rsidRPr="007C3F49">
        <w:t xml:space="preserve"> con una quota pari a 530mila occupati, sostenuta soprattutto dall</w:t>
      </w:r>
      <w:r w:rsidR="00A328E7">
        <w:t>’incremento</w:t>
      </w:r>
      <w:r w:rsidRPr="007C3F49">
        <w:t xml:space="preserve"> </w:t>
      </w:r>
      <w:r w:rsidR="002271A5" w:rsidRPr="007C3F49">
        <w:t>continu</w:t>
      </w:r>
      <w:r w:rsidR="00A328E7">
        <w:t>o</w:t>
      </w:r>
      <w:r w:rsidR="002271A5" w:rsidRPr="007C3F49">
        <w:t xml:space="preserve"> </w:t>
      </w:r>
      <w:r w:rsidRPr="007C3F49">
        <w:t xml:space="preserve">dei </w:t>
      </w:r>
      <w:r w:rsidR="001860E5">
        <w:t>lavoratori</w:t>
      </w:r>
      <w:r w:rsidRPr="007C3F49">
        <w:t xml:space="preserve"> con contratto a tempo indeterminato che </w:t>
      </w:r>
      <w:r w:rsidR="00913DCD" w:rsidRPr="007C3F49">
        <w:t xml:space="preserve">hanno </w:t>
      </w:r>
      <w:r w:rsidR="00F90785">
        <w:t>continuato a crescere nel corso dell’intero anno</w:t>
      </w:r>
      <w:r w:rsidR="00A328E7">
        <w:t>,</w:t>
      </w:r>
      <w:r w:rsidR="00F90785">
        <w:t xml:space="preserve"> </w:t>
      </w:r>
      <w:r w:rsidR="00913DCD" w:rsidRPr="007C3F49">
        <w:t>raggiun</w:t>
      </w:r>
      <w:r w:rsidR="00F90785">
        <w:t>gendo</w:t>
      </w:r>
      <w:r w:rsidR="00913DCD" w:rsidRPr="007C3F49">
        <w:t xml:space="preserve"> </w:t>
      </w:r>
      <w:r w:rsidRPr="007C3F49">
        <w:t xml:space="preserve">a </w:t>
      </w:r>
      <w:proofErr w:type="gramStart"/>
      <w:r w:rsidR="00F90785">
        <w:t>Dicembre</w:t>
      </w:r>
      <w:proofErr w:type="gramEnd"/>
      <w:r w:rsidR="00F90785">
        <w:t xml:space="preserve"> </w:t>
      </w:r>
      <w:r w:rsidRPr="007C3F49">
        <w:t>13</w:t>
      </w:r>
      <w:r w:rsidR="00913DCD" w:rsidRPr="007C3F49">
        <w:t>2</w:t>
      </w:r>
      <w:r w:rsidRPr="007C3F49">
        <w:t xml:space="preserve">mila unità. </w:t>
      </w:r>
    </w:p>
    <w:p w14:paraId="21643868" w14:textId="6498FDC3" w:rsidR="007C3F49" w:rsidRDefault="00424714" w:rsidP="007C3F49">
      <w:pPr>
        <w:jc w:val="both"/>
      </w:pPr>
      <w:r w:rsidRPr="007C3F49">
        <w:t xml:space="preserve">Osservando i dati incrementali assoluti degli occupati, la domanda di Somministrazione è sembrata </w:t>
      </w:r>
      <w:r w:rsidR="003E7E05">
        <w:t xml:space="preserve">apparentemente </w:t>
      </w:r>
      <w:r w:rsidRPr="007C3F49">
        <w:t>appena scalfita da</w:t>
      </w:r>
      <w:r w:rsidR="002271A5" w:rsidRPr="007C3F49">
        <w:t xml:space="preserve">i fattori di crisi innescati dal conflitto </w:t>
      </w:r>
      <w:r w:rsidR="00F90785">
        <w:t>r</w:t>
      </w:r>
      <w:r w:rsidRPr="007C3F49">
        <w:t>usso-</w:t>
      </w:r>
      <w:r w:rsidR="00F90785">
        <w:t>u</w:t>
      </w:r>
      <w:r w:rsidRPr="007C3F49">
        <w:t>crain</w:t>
      </w:r>
      <w:r w:rsidR="002271A5" w:rsidRPr="007C3F49">
        <w:t>o</w:t>
      </w:r>
      <w:r w:rsidR="00D730AC">
        <w:t>,</w:t>
      </w:r>
      <w:r w:rsidR="002271A5" w:rsidRPr="007C3F49">
        <w:t xml:space="preserve"> che hanno invece rapidamente prodotto effetti sul lavoro a termine nel suo complesso</w:t>
      </w:r>
      <w:r w:rsidR="00B17AF5" w:rsidRPr="007C3F49">
        <w:t xml:space="preserve">. </w:t>
      </w:r>
      <w:r w:rsidRPr="007C3F49">
        <w:t xml:space="preserve">  </w:t>
      </w:r>
    </w:p>
    <w:p w14:paraId="12735E4E" w14:textId="1C7095F1" w:rsidR="00424714" w:rsidRPr="007C3F49" w:rsidRDefault="007C3F49" w:rsidP="007C3F49">
      <w:pPr>
        <w:jc w:val="both"/>
      </w:pPr>
      <w:r>
        <w:t>I</w:t>
      </w:r>
      <w:r w:rsidR="00424714" w:rsidRPr="007C3F49">
        <w:t>l comparto ha continuato</w:t>
      </w:r>
      <w:r w:rsidR="003E7E05">
        <w:t xml:space="preserve">, del resto, </w:t>
      </w:r>
      <w:r w:rsidR="00424714" w:rsidRPr="007C3F49">
        <w:t>a gestire efficacemente i processi di recruiting professionali delle imprese</w:t>
      </w:r>
      <w:r w:rsidR="00991F07">
        <w:t>,</w:t>
      </w:r>
      <w:r w:rsidR="00424714" w:rsidRPr="007C3F49">
        <w:t xml:space="preserve"> con volumi crescenti di occupati</w:t>
      </w:r>
      <w:r>
        <w:t xml:space="preserve"> anche nella fase </w:t>
      </w:r>
      <w:r w:rsidR="003E7E05">
        <w:t xml:space="preserve">iniziale dell’anno anche con la </w:t>
      </w:r>
      <w:r>
        <w:t>crisi da shock dei prezzi dei beni energetici e</w:t>
      </w:r>
      <w:r w:rsidR="003E7E05">
        <w:t xml:space="preserve"> con la</w:t>
      </w:r>
      <w:r>
        <w:t xml:space="preserve"> crescita dell’Inflazione</w:t>
      </w:r>
      <w:r w:rsidR="001860E5">
        <w:t xml:space="preserve"> in atto</w:t>
      </w:r>
      <w:r w:rsidR="00256195">
        <w:t>.</w:t>
      </w:r>
      <w:r>
        <w:t xml:space="preserve">    </w:t>
      </w:r>
    </w:p>
    <w:p w14:paraId="6EF58E61" w14:textId="3BC757A9" w:rsidR="00424714" w:rsidRPr="007C3F49" w:rsidRDefault="0078307D" w:rsidP="007C3F49">
      <w:pPr>
        <w:jc w:val="both"/>
      </w:pPr>
      <w:r w:rsidRPr="007C3F49">
        <w:t>Osservando gli andamenti mensili emerge tuttavia come anche la Somministrazione abbia subito nel corso dell’anno l’impatto dell’</w:t>
      </w:r>
      <w:r w:rsidR="00424714" w:rsidRPr="007C3F49">
        <w:t xml:space="preserve">approfondirsi della crisi </w:t>
      </w:r>
      <w:r w:rsidR="001860E5">
        <w:t xml:space="preserve">geopolitica </w:t>
      </w:r>
      <w:r w:rsidR="003E7E05">
        <w:t>in Europa dell’est</w:t>
      </w:r>
      <w:r w:rsidR="00991F07">
        <w:t>,</w:t>
      </w:r>
      <w:r w:rsidRPr="007C3F49">
        <w:t xml:space="preserve"> </w:t>
      </w:r>
      <w:r w:rsidR="00A328E7">
        <w:t xml:space="preserve">con </w:t>
      </w:r>
      <w:r w:rsidR="00424714" w:rsidRPr="007C3F49">
        <w:t>l’incertezza montante rispetto alle dinamiche economiche</w:t>
      </w:r>
      <w:r w:rsidRPr="007C3F49">
        <w:t xml:space="preserve"> internazionali</w:t>
      </w:r>
      <w:r w:rsidR="00F90785">
        <w:t xml:space="preserve"> e le problematiche connesse alla frenata complessiva dell’economia</w:t>
      </w:r>
      <w:r w:rsidRPr="007C3F49">
        <w:t xml:space="preserve">. </w:t>
      </w:r>
    </w:p>
    <w:p w14:paraId="5D641A58" w14:textId="0D597F6A" w:rsidR="00424714" w:rsidRPr="007C3F49" w:rsidRDefault="00424714" w:rsidP="007C3F49">
      <w:pPr>
        <w:jc w:val="both"/>
      </w:pPr>
      <w:r w:rsidRPr="007C3F49">
        <w:lastRenderedPageBreak/>
        <w:t>Per la Somministrazione</w:t>
      </w:r>
      <w:r w:rsidR="00A13714">
        <w:t>,</w:t>
      </w:r>
      <w:r w:rsidRPr="007C3F49">
        <w:t xml:space="preserve"> </w:t>
      </w:r>
      <w:r w:rsidR="0078307D" w:rsidRPr="007C3F49">
        <w:t>l’incertezza per il rischio di instab</w:t>
      </w:r>
      <w:r w:rsidR="00256195">
        <w:t>i</w:t>
      </w:r>
      <w:r w:rsidR="0078307D" w:rsidRPr="007C3F49">
        <w:t xml:space="preserve">lità economica </w:t>
      </w:r>
      <w:r w:rsidR="00F90785">
        <w:t>e la dinamica di rallentamento dell’economia nel suo complesso</w:t>
      </w:r>
      <w:r w:rsidR="003E7E05">
        <w:t>,</w:t>
      </w:r>
      <w:r w:rsidR="00F90785">
        <w:t xml:space="preserve"> </w:t>
      </w:r>
      <w:r w:rsidR="0019604D">
        <w:t>hanno</w:t>
      </w:r>
      <w:r w:rsidR="0078307D" w:rsidRPr="007C3F49">
        <w:t xml:space="preserve"> </w:t>
      </w:r>
      <w:r w:rsidRPr="007C3F49">
        <w:t xml:space="preserve">determinato </w:t>
      </w:r>
      <w:r w:rsidR="003E7E05">
        <w:t>così</w:t>
      </w:r>
      <w:r w:rsidR="00A328E7">
        <w:t xml:space="preserve"> </w:t>
      </w:r>
      <w:r w:rsidRPr="007C3F49">
        <w:t>una frenata nella crescita tendenziale dell</w:t>
      </w:r>
      <w:r w:rsidR="00785DA5">
        <w:t>’</w:t>
      </w:r>
      <w:r w:rsidRPr="007C3F49">
        <w:t xml:space="preserve">occupazione </w:t>
      </w:r>
      <w:r w:rsidR="00E933FD">
        <w:t xml:space="preserve">totale </w:t>
      </w:r>
      <w:r w:rsidRPr="007C3F49">
        <w:t>(calcolata confrontando il dato di ciascun mese con quello dello stesso mese dell’anno precedente)</w:t>
      </w:r>
      <w:r w:rsidR="0072303F">
        <w:t>,</w:t>
      </w:r>
      <w:r w:rsidRPr="007C3F49">
        <w:t xml:space="preserve"> </w:t>
      </w:r>
      <w:r w:rsidR="00256195">
        <w:t xml:space="preserve">una </w:t>
      </w:r>
      <w:r w:rsidRPr="007C3F49">
        <w:t>frenata che ha cominciato ad essere più evidente a partire da Giugno 2022</w:t>
      </w:r>
      <w:r w:rsidR="0072303F">
        <w:t>,</w:t>
      </w:r>
      <w:r w:rsidRPr="007C3F49">
        <w:t xml:space="preserve"> </w:t>
      </w:r>
      <w:r w:rsidR="0078307D" w:rsidRPr="007C3F49">
        <w:t xml:space="preserve">quando i tassi di </w:t>
      </w:r>
      <w:r w:rsidRPr="007C3F49">
        <w:t>crescita</w:t>
      </w:r>
      <w:r w:rsidR="0072303F">
        <w:t xml:space="preserve"> (</w:t>
      </w:r>
      <w:r w:rsidR="00256195">
        <w:t xml:space="preserve">ancorché </w:t>
      </w:r>
      <w:r w:rsidRPr="007C3F49">
        <w:t>positivi</w:t>
      </w:r>
      <w:r w:rsidR="0072303F">
        <w:t>)</w:t>
      </w:r>
      <w:r w:rsidRPr="007C3F49">
        <w:t xml:space="preserve"> </w:t>
      </w:r>
      <w:r w:rsidR="00256195">
        <w:t xml:space="preserve">dell’intera occupazione </w:t>
      </w:r>
      <w:r w:rsidR="003E7E05">
        <w:t>del</w:t>
      </w:r>
      <w:r w:rsidR="00256195">
        <w:t xml:space="preserve"> comparto </w:t>
      </w:r>
      <w:r w:rsidR="0078307D" w:rsidRPr="007C3F49">
        <w:t xml:space="preserve">hanno cominciato divenire </w:t>
      </w:r>
      <w:r w:rsidRPr="007C3F49">
        <w:t xml:space="preserve">sempre più </w:t>
      </w:r>
      <w:r w:rsidR="00E933FD">
        <w:t>ri</w:t>
      </w:r>
      <w:r w:rsidR="00F90785">
        <w:t>d</w:t>
      </w:r>
      <w:r w:rsidR="00E933FD">
        <w:t>otti</w:t>
      </w:r>
      <w:r w:rsidR="00A328E7">
        <w:t>. A</w:t>
      </w:r>
      <w:r w:rsidRPr="007C3F49">
        <w:t xml:space="preserve"> </w:t>
      </w:r>
      <w:proofErr w:type="gramStart"/>
      <w:r w:rsidRPr="007C3F49">
        <w:t>Novembre</w:t>
      </w:r>
      <w:proofErr w:type="gramEnd"/>
      <w:r w:rsidRPr="007C3F49">
        <w:t xml:space="preserve"> </w:t>
      </w:r>
      <w:r w:rsidR="00A328E7">
        <w:t>si è registrato</w:t>
      </w:r>
      <w:r w:rsidR="00256195">
        <w:t xml:space="preserve"> </w:t>
      </w:r>
      <w:r w:rsidR="0078307D" w:rsidRPr="007C3F49">
        <w:t xml:space="preserve">un primo </w:t>
      </w:r>
      <w:r w:rsidRPr="007C3F49">
        <w:t>calo su base annua</w:t>
      </w:r>
      <w:r w:rsidR="00F90785">
        <w:t xml:space="preserve">, </w:t>
      </w:r>
      <w:r w:rsidR="00913DCD" w:rsidRPr="007C3F49">
        <w:t>che è proseguito</w:t>
      </w:r>
      <w:r w:rsidR="003E7E05">
        <w:t>,</w:t>
      </w:r>
      <w:r w:rsidR="00913DCD" w:rsidRPr="007C3F49">
        <w:t xml:space="preserve"> ampliandosi</w:t>
      </w:r>
      <w:r w:rsidR="003E7E05">
        <w:t>,</w:t>
      </w:r>
      <w:r w:rsidR="00913DCD" w:rsidRPr="007C3F49">
        <w:t xml:space="preserve"> anche nel mese successivo</w:t>
      </w:r>
      <w:r w:rsidR="00C53C8A">
        <w:t>,</w:t>
      </w:r>
      <w:r w:rsidR="00913DCD" w:rsidRPr="007C3F49">
        <w:t xml:space="preserve"> co</w:t>
      </w:r>
      <w:r w:rsidR="00256195">
        <w:t xml:space="preserve">me attesta il </w:t>
      </w:r>
      <w:r w:rsidR="00913DCD" w:rsidRPr="007C3F49">
        <w:t>dat</w:t>
      </w:r>
      <w:r w:rsidR="0078307D" w:rsidRPr="007C3F49">
        <w:t>o</w:t>
      </w:r>
      <w:r w:rsidR="00913DCD" w:rsidRPr="007C3F49">
        <w:t xml:space="preserve"> tendenziale </w:t>
      </w:r>
      <w:r w:rsidR="00A328E7">
        <w:t>di</w:t>
      </w:r>
      <w:r w:rsidR="0078307D" w:rsidRPr="007C3F49">
        <w:t xml:space="preserve"> Dicembre </w:t>
      </w:r>
      <w:r w:rsidR="00913DCD" w:rsidRPr="007C3F49">
        <w:t>pari a -0,8%</w:t>
      </w:r>
      <w:r w:rsidR="00C53C8A">
        <w:t>.</w:t>
      </w:r>
    </w:p>
    <w:p w14:paraId="0B75489A" w14:textId="442F1588" w:rsidR="00610C52" w:rsidRPr="007C3F49" w:rsidRDefault="00424714" w:rsidP="003E7E05">
      <w:pPr>
        <w:jc w:val="both"/>
      </w:pPr>
      <w:r w:rsidRPr="007C3F49">
        <w:t>La scomposizione degli addetti per tipologia di contratto aiuta a capire meglio le dinamiche in atto</w:t>
      </w:r>
      <w:r w:rsidR="001860E5">
        <w:t xml:space="preserve"> dentro la Somministrazione</w:t>
      </w:r>
      <w:r w:rsidRPr="007C3F49">
        <w:t>.</w:t>
      </w:r>
      <w:r w:rsidR="003E7E05">
        <w:t xml:space="preserve"> </w:t>
      </w:r>
      <w:r w:rsidR="00256195">
        <w:t>Il</w:t>
      </w:r>
      <w:r w:rsidRPr="007C3F49">
        <w:t xml:space="preserve"> dato medio mensile dei lavoratori somministrati con contratto a tempo determinato </w:t>
      </w:r>
      <w:r w:rsidR="00913DCD" w:rsidRPr="007C3F49">
        <w:t xml:space="preserve">nel </w:t>
      </w:r>
      <w:r w:rsidRPr="007C3F49">
        <w:t>2022</w:t>
      </w:r>
      <w:r w:rsidR="00256195">
        <w:t xml:space="preserve"> era</w:t>
      </w:r>
      <w:r w:rsidRPr="007C3F49">
        <w:t xml:space="preserve"> pari a </w:t>
      </w:r>
      <w:r w:rsidR="00913DCD" w:rsidRPr="007C3F49">
        <w:t xml:space="preserve">quasi </w:t>
      </w:r>
      <w:r w:rsidRPr="007C3F49">
        <w:t>39</w:t>
      </w:r>
      <w:r w:rsidR="00913DCD" w:rsidRPr="007C3F49">
        <w:t>5</w:t>
      </w:r>
      <w:r w:rsidRPr="007C3F49">
        <w:t xml:space="preserve">mila unità contro </w:t>
      </w:r>
      <w:r w:rsidR="00256195">
        <w:t>le</w:t>
      </w:r>
      <w:r w:rsidRPr="007C3F49">
        <w:t xml:space="preserve"> 3</w:t>
      </w:r>
      <w:r w:rsidR="00913DCD" w:rsidRPr="007C3F49">
        <w:t>70</w:t>
      </w:r>
      <w:r w:rsidRPr="007C3F49">
        <w:t xml:space="preserve">mila dello stesso periodo dell'anno precedente (con una crescita del </w:t>
      </w:r>
      <w:r w:rsidR="00913DCD" w:rsidRPr="007C3F49">
        <w:t>6,7</w:t>
      </w:r>
      <w:r w:rsidRPr="007C3F49">
        <w:t>%)</w:t>
      </w:r>
      <w:r w:rsidR="00256195">
        <w:t>.</w:t>
      </w:r>
      <w:r w:rsidRPr="007C3F49">
        <w:t xml:space="preserve">  </w:t>
      </w:r>
      <w:r w:rsidR="00256195">
        <w:t>G</w:t>
      </w:r>
      <w:r w:rsidRPr="007C3F49">
        <w:t xml:space="preserve">li andamenti mensili di questo segmento di domanda evidenziano una dinamica </w:t>
      </w:r>
      <w:r w:rsidR="00256195">
        <w:t>di crescita</w:t>
      </w:r>
      <w:r w:rsidRPr="007C3F49">
        <w:t xml:space="preserve"> tendenziale</w:t>
      </w:r>
      <w:r w:rsidR="0078307D" w:rsidRPr="007C3F49">
        <w:t xml:space="preserve"> positiva ma</w:t>
      </w:r>
      <w:r w:rsidRPr="007C3F49">
        <w:t xml:space="preserve"> in frenata sino a </w:t>
      </w:r>
      <w:r w:rsidR="00256195">
        <w:t>L</w:t>
      </w:r>
      <w:r w:rsidRPr="007C3F49">
        <w:t>uglio</w:t>
      </w:r>
      <w:r w:rsidR="00256195">
        <w:t xml:space="preserve">. Nei mesi successivi si è passati </w:t>
      </w:r>
      <w:r w:rsidR="00A328E7">
        <w:t xml:space="preserve">ad </w:t>
      </w:r>
      <w:r w:rsidR="00F90785">
        <w:t xml:space="preserve">un </w:t>
      </w:r>
      <w:r w:rsidRPr="007C3F49">
        <w:t xml:space="preserve">dato tendenziale negativo </w:t>
      </w:r>
      <w:r w:rsidR="00F90785">
        <w:t xml:space="preserve">che </w:t>
      </w:r>
      <w:r w:rsidR="00256195">
        <w:t xml:space="preserve">è risultato </w:t>
      </w:r>
      <w:r w:rsidR="004F1723">
        <w:t>peggiorare</w:t>
      </w:r>
      <w:r w:rsidRPr="007C3F49">
        <w:t xml:space="preserve"> sino a</w:t>
      </w:r>
      <w:r w:rsidR="00913DCD" w:rsidRPr="007C3F49">
        <w:t>lla fine dell’anno</w:t>
      </w:r>
      <w:r w:rsidR="00F90785">
        <w:t>. A</w:t>
      </w:r>
      <w:r w:rsidR="00913DCD" w:rsidRPr="007C3F49">
        <w:t xml:space="preserve"> Dicembre 2022 </w:t>
      </w:r>
      <w:r w:rsidR="0078307D" w:rsidRPr="007C3F49">
        <w:t xml:space="preserve">il tasso tendenziale </w:t>
      </w:r>
      <w:r w:rsidR="00F90785">
        <w:t>era pari a</w:t>
      </w:r>
      <w:r w:rsidR="00256195">
        <w:t xml:space="preserve"> </w:t>
      </w:r>
      <w:r w:rsidR="001860E5">
        <w:t xml:space="preserve">     </w:t>
      </w:r>
      <w:r w:rsidR="00913DCD" w:rsidRPr="007C3F49">
        <w:t>-6,4%</w:t>
      </w:r>
      <w:r w:rsidR="00A328E7">
        <w:t xml:space="preserve"> con gli occupati a tempo determinato che sono scesi a 379mila </w:t>
      </w:r>
      <w:r w:rsidR="00610C52">
        <w:t>(</w:t>
      </w:r>
      <w:r w:rsidR="00A328E7">
        <w:t>in calo di oltre 30mila unità rispetto ai 410mila di Giugno e Luglio</w:t>
      </w:r>
      <w:r w:rsidR="00610C52">
        <w:t>).</w:t>
      </w:r>
    </w:p>
    <w:p w14:paraId="3246F55C" w14:textId="47AC929A" w:rsidR="00424714" w:rsidRPr="007C3F49" w:rsidRDefault="00424714" w:rsidP="007C3F49">
      <w:pPr>
        <w:jc w:val="both"/>
      </w:pPr>
      <w:r w:rsidRPr="007C3F49">
        <w:t>Per quanto riguarda</w:t>
      </w:r>
      <w:r w:rsidR="00302C54">
        <w:t xml:space="preserve"> </w:t>
      </w:r>
      <w:r w:rsidRPr="007C3F49">
        <w:t xml:space="preserve">gli occupati a </w:t>
      </w:r>
      <w:r w:rsidR="00AF58EE">
        <w:t>t</w:t>
      </w:r>
      <w:r w:rsidRPr="007C3F49">
        <w:t xml:space="preserve">empo </w:t>
      </w:r>
      <w:r w:rsidR="00AF58EE">
        <w:t>i</w:t>
      </w:r>
      <w:r w:rsidRPr="007C3F49">
        <w:t>ndeterminato</w:t>
      </w:r>
      <w:r w:rsidR="00A63A0E">
        <w:t>,</w:t>
      </w:r>
      <w:r w:rsidRPr="007C3F49">
        <w:t xml:space="preserve"> questa componente</w:t>
      </w:r>
      <w:r w:rsidR="003E7E05">
        <w:t xml:space="preserve"> della Somministrazione</w:t>
      </w:r>
      <w:r w:rsidRPr="007C3F49">
        <w:t xml:space="preserve"> ha continuato invece a crescere lungo tutto il periodo senza soluzione di continuità, passando dai 11</w:t>
      </w:r>
      <w:r w:rsidR="00F90785">
        <w:t xml:space="preserve">1mila </w:t>
      </w:r>
      <w:r w:rsidRPr="007C3F49">
        <w:t>di Gennaio 2022 a</w:t>
      </w:r>
      <w:r w:rsidR="00913DCD" w:rsidRPr="007C3F49">
        <w:t xml:space="preserve">gli </w:t>
      </w:r>
      <w:r w:rsidR="00A63A0E" w:rsidRPr="007C3F49">
        <w:t>oltre 132</w:t>
      </w:r>
      <w:r w:rsidR="00913DCD" w:rsidRPr="007C3F49">
        <w:t xml:space="preserve">mila </w:t>
      </w:r>
      <w:r w:rsidRPr="007C3F49">
        <w:t xml:space="preserve">di </w:t>
      </w:r>
      <w:r w:rsidR="00913DCD" w:rsidRPr="007C3F49">
        <w:t>Dic</w:t>
      </w:r>
      <w:r w:rsidRPr="007C3F49">
        <w:t xml:space="preserve">embre 2022. Anche i dati tendenziali hanno mantenuto un andamento positivo (ad eccezione di </w:t>
      </w:r>
      <w:r w:rsidR="00256195">
        <w:t>L</w:t>
      </w:r>
      <w:r w:rsidRPr="007C3F49">
        <w:t xml:space="preserve">uglio) </w:t>
      </w:r>
      <w:r w:rsidR="00F90785">
        <w:t xml:space="preserve">e </w:t>
      </w:r>
      <w:r w:rsidRPr="007C3F49">
        <w:t xml:space="preserve">sempre crescente </w:t>
      </w:r>
      <w:r w:rsidR="00F90785">
        <w:t>sino</w:t>
      </w:r>
      <w:r w:rsidRPr="007C3F49">
        <w:t xml:space="preserve"> a Novembre 2022</w:t>
      </w:r>
      <w:r w:rsidR="00A63A0E">
        <w:t>,</w:t>
      </w:r>
      <w:r w:rsidRPr="007C3F49">
        <w:t xml:space="preserve"> </w:t>
      </w:r>
      <w:r w:rsidR="00F90785">
        <w:t xml:space="preserve">con </w:t>
      </w:r>
      <w:r w:rsidR="00256195">
        <w:t xml:space="preserve">gli occupati in </w:t>
      </w:r>
      <w:r w:rsidR="003E7E05">
        <w:t>S</w:t>
      </w:r>
      <w:r w:rsidR="00256195">
        <w:t xml:space="preserve">omministrazione a tempo indeterminato </w:t>
      </w:r>
      <w:r w:rsidR="00F90785">
        <w:t xml:space="preserve">che hanno registrato </w:t>
      </w:r>
      <w:r w:rsidRPr="007C3F49">
        <w:t>un significativo +21,</w:t>
      </w:r>
      <w:r w:rsidR="00913DCD" w:rsidRPr="007C3F49">
        <w:t>3</w:t>
      </w:r>
      <w:r w:rsidRPr="007C3F49">
        <w:t xml:space="preserve">% su base annua. </w:t>
      </w:r>
      <w:r w:rsidR="00913DCD" w:rsidRPr="007C3F49">
        <w:t>A</w:t>
      </w:r>
      <w:r w:rsidR="00A63A0E">
        <w:t xml:space="preserve"> </w:t>
      </w:r>
      <w:r w:rsidR="00256195">
        <w:t>D</w:t>
      </w:r>
      <w:r w:rsidR="00913DCD" w:rsidRPr="007C3F49">
        <w:t xml:space="preserve">icembre tuttavia la crescita tendenziale ha cominciato a </w:t>
      </w:r>
      <w:r w:rsidR="00F90785">
        <w:t>rallentare</w:t>
      </w:r>
      <w:r w:rsidR="00913DCD" w:rsidRPr="007C3F49">
        <w:t xml:space="preserve"> pur manten</w:t>
      </w:r>
      <w:r w:rsidR="00256195">
        <w:t>en</w:t>
      </w:r>
      <w:r w:rsidR="00913DCD" w:rsidRPr="007C3F49">
        <w:t>dos</w:t>
      </w:r>
      <w:r w:rsidR="00256195">
        <w:t>i</w:t>
      </w:r>
      <w:r w:rsidR="00913DCD" w:rsidRPr="007C3F49">
        <w:t xml:space="preserve"> ancora molto elevata</w:t>
      </w:r>
      <w:r w:rsidR="00A63A0E">
        <w:t>,</w:t>
      </w:r>
      <w:r w:rsidR="00913DCD" w:rsidRPr="007C3F49">
        <w:t xml:space="preserve"> </w:t>
      </w:r>
      <w:r w:rsidR="00256195">
        <w:t xml:space="preserve">come attesta l’incremento </w:t>
      </w:r>
      <w:r w:rsidR="00913DCD" w:rsidRPr="007C3F49">
        <w:t xml:space="preserve">su base annua </w:t>
      </w:r>
      <w:r w:rsidR="00256195">
        <w:t>pari a</w:t>
      </w:r>
      <w:r w:rsidR="00913DCD" w:rsidRPr="007C3F49">
        <w:t xml:space="preserve"> +19,9%</w:t>
      </w:r>
      <w:r w:rsidR="00F90785">
        <w:t>.</w:t>
      </w:r>
      <w:r w:rsidR="00913DCD" w:rsidRPr="007C3F49">
        <w:t xml:space="preserve"> </w:t>
      </w:r>
      <w:r w:rsidRPr="007C3F49">
        <w:t xml:space="preserve"> </w:t>
      </w:r>
    </w:p>
    <w:p w14:paraId="0F2F06AC" w14:textId="1921C53C" w:rsidR="000A211A" w:rsidRPr="00B4737B" w:rsidRDefault="000A211A" w:rsidP="000A211A">
      <w:pPr>
        <w:jc w:val="both"/>
      </w:pPr>
      <w:r>
        <w:t>Come osservato innanzi, il</w:t>
      </w:r>
      <w:r w:rsidRPr="007C3F49">
        <w:t xml:space="preserve"> peso dell’incertezza </w:t>
      </w:r>
      <w:r w:rsidR="003E7E05">
        <w:t xml:space="preserve">della guerra </w:t>
      </w:r>
      <w:r w:rsidRPr="007C3F49">
        <w:t xml:space="preserve">sullo scenario economico </w:t>
      </w:r>
      <w:r w:rsidR="003E7E05">
        <w:t xml:space="preserve">con </w:t>
      </w:r>
      <w:r w:rsidRPr="007C3F49">
        <w:t xml:space="preserve">le dinamiche </w:t>
      </w:r>
      <w:r>
        <w:t>di frenata,</w:t>
      </w:r>
      <w:r w:rsidRPr="007C3F49">
        <w:t xml:space="preserve"> </w:t>
      </w:r>
      <w:r>
        <w:t>molto</w:t>
      </w:r>
      <w:r w:rsidRPr="007C3F49">
        <w:t xml:space="preserve"> evidenti in alcuni comparti, </w:t>
      </w:r>
      <w:r>
        <w:t xml:space="preserve">a fronte del permanere di una elevata domanda di occupati </w:t>
      </w:r>
      <w:r w:rsidR="00551480">
        <w:t>alle dipendenze</w:t>
      </w:r>
      <w:r>
        <w:t xml:space="preserve"> permanenti, </w:t>
      </w:r>
      <w:r w:rsidRPr="00B4737B">
        <w:t xml:space="preserve">hanno contratto </w:t>
      </w:r>
      <w:r>
        <w:t xml:space="preserve">e per certi versi spiazzato </w:t>
      </w:r>
      <w:r w:rsidRPr="00B4737B">
        <w:t xml:space="preserve">la domanda </w:t>
      </w:r>
      <w:r>
        <w:t xml:space="preserve">complessiva </w:t>
      </w:r>
      <w:r w:rsidRPr="00B4737B">
        <w:t xml:space="preserve">di occupazione </w:t>
      </w:r>
      <w:r>
        <w:t>a termine colpendo quindi anche la</w:t>
      </w:r>
      <w:r w:rsidRPr="00B4737B">
        <w:t xml:space="preserve"> </w:t>
      </w:r>
      <w:r>
        <w:t>S</w:t>
      </w:r>
      <w:r w:rsidRPr="00B4737B">
        <w:t>omministrazione</w:t>
      </w:r>
      <w:r>
        <w:t xml:space="preserve"> e in particolare la componente a tempo determinato</w:t>
      </w:r>
      <w:r w:rsidRPr="00B4737B">
        <w:t xml:space="preserve">. </w:t>
      </w:r>
    </w:p>
    <w:p w14:paraId="1A1FA7AA" w14:textId="03B45676" w:rsidR="000A211A" w:rsidRPr="00B4737B" w:rsidRDefault="000A211A" w:rsidP="000A211A">
      <w:pPr>
        <w:jc w:val="both"/>
      </w:pPr>
      <w:r w:rsidRPr="00B4737B">
        <w:t xml:space="preserve">Questa dinamica si sta confermando anche nel 2023. A </w:t>
      </w:r>
      <w:proofErr w:type="gramStart"/>
      <w:r w:rsidRPr="00B4737B">
        <w:t>Gennaio</w:t>
      </w:r>
      <w:proofErr w:type="gramEnd"/>
      <w:r w:rsidRPr="00B4737B">
        <w:t xml:space="preserve"> gli occupati totali in </w:t>
      </w:r>
      <w:r w:rsidR="003E7E05">
        <w:t>S</w:t>
      </w:r>
      <w:r w:rsidRPr="00B4737B">
        <w:t>omministrazione sono scesi a 483 mila unità</w:t>
      </w:r>
      <w:r>
        <w:t>,</w:t>
      </w:r>
      <w:r w:rsidRPr="00B4737B">
        <w:t xml:space="preserve"> con un calo del 2,7% rispetto a Gennaio 2022. Anche a inizio anno</w:t>
      </w:r>
      <w:r>
        <w:t>, infatti,</w:t>
      </w:r>
      <w:r w:rsidRPr="00B4737B">
        <w:t xml:space="preserve"> è proseguita</w:t>
      </w:r>
      <w:r>
        <w:t xml:space="preserve"> </w:t>
      </w:r>
      <w:r w:rsidRPr="00B4737B">
        <w:t>la divaricazione negli andamenti delle due componenti a termine ed a tempo indeterminato</w:t>
      </w:r>
      <w:r>
        <w:t xml:space="preserve"> della Somministrazione</w:t>
      </w:r>
      <w:r w:rsidRPr="00B4737B">
        <w:t xml:space="preserve">.  Gli occupati a termine sono scesi </w:t>
      </w:r>
      <w:r w:rsidR="001860E5">
        <w:t xml:space="preserve">su base annua </w:t>
      </w:r>
      <w:r w:rsidRPr="00B4737B">
        <w:t xml:space="preserve">del 9,5% mentre i lavoratori somministrati a tempo indeterminato sono cresciuti del 20,8%. </w:t>
      </w:r>
      <w:r>
        <w:t>Anche la</w:t>
      </w:r>
      <w:r w:rsidRPr="00B4737B">
        <w:t xml:space="preserve"> crescita congiunturale evidenzia un ulteriore</w:t>
      </w:r>
      <w:r>
        <w:t xml:space="preserve"> (ancorché contenuto) </w:t>
      </w:r>
      <w:r w:rsidRPr="00B4737B">
        <w:t xml:space="preserve">incremento nella componente permanente della </w:t>
      </w:r>
      <w:r>
        <w:t>S</w:t>
      </w:r>
      <w:r w:rsidRPr="00B4737B">
        <w:t>omministrazione</w:t>
      </w:r>
      <w:r>
        <w:t>,</w:t>
      </w:r>
      <w:r w:rsidRPr="00B4737B">
        <w:t xml:space="preserve"> cresciuta a Gennaio 2023 </w:t>
      </w:r>
      <w:r w:rsidR="001860E5">
        <w:t>(</w:t>
      </w:r>
      <w:r w:rsidRPr="00B4737B">
        <w:t xml:space="preserve">rispetto a </w:t>
      </w:r>
      <w:proofErr w:type="gramStart"/>
      <w:r w:rsidRPr="00B4737B">
        <w:t>Dicembre</w:t>
      </w:r>
      <w:proofErr w:type="gramEnd"/>
      <w:r w:rsidR="001860E5">
        <w:t>)</w:t>
      </w:r>
      <w:r w:rsidR="00E64B32">
        <w:t xml:space="preserve"> </w:t>
      </w:r>
      <w:r w:rsidRPr="00B4737B">
        <w:t xml:space="preserve">del +1,0%, mentre per la componente a tempo determinato si è registrato un calo piuttosto netto </w:t>
      </w:r>
      <w:r>
        <w:t>pari a</w:t>
      </w:r>
      <w:r w:rsidRPr="00B4737B">
        <w:t xml:space="preserve"> -8%. </w:t>
      </w:r>
    </w:p>
    <w:p w14:paraId="4B6FDA8E" w14:textId="77777777" w:rsidR="000A211A" w:rsidRPr="00B4737B" w:rsidRDefault="000A211A" w:rsidP="000A211A">
      <w:pPr>
        <w:jc w:val="both"/>
      </w:pPr>
      <w:r w:rsidRPr="00B4737B">
        <w:t xml:space="preserve">La divergenza nell’andamento tra i due gruppi sta determinando una crescita dell’incidenza dei somministrati a tempo indeterminato sui somministrati totali. La quota è arrivata </w:t>
      </w:r>
      <w:r>
        <w:t xml:space="preserve">a Gennaio 2023 </w:t>
      </w:r>
      <w:r w:rsidRPr="00B4737B">
        <w:t>al 27,8%</w:t>
      </w:r>
      <w:r>
        <w:t>,</w:t>
      </w:r>
      <w:r w:rsidRPr="00B4737B">
        <w:t xml:space="preserve"> contro il 22,3% di Gennaio 2022.  </w:t>
      </w:r>
    </w:p>
    <w:p w14:paraId="1D206376" w14:textId="77777777" w:rsidR="000A211A" w:rsidRDefault="000A211A" w:rsidP="000A211A">
      <w:pPr>
        <w:jc w:val="both"/>
      </w:pPr>
      <w:r w:rsidRPr="00B4737B">
        <w:t xml:space="preserve">Al pari delle dinamiche registrate nell’intero mercato del lavoro, </w:t>
      </w:r>
      <w:r>
        <w:t xml:space="preserve">anche </w:t>
      </w:r>
      <w:r w:rsidRPr="00B4737B">
        <w:t xml:space="preserve">il comparto </w:t>
      </w:r>
      <w:r>
        <w:t xml:space="preserve">della Somministrazione </w:t>
      </w:r>
      <w:r w:rsidRPr="00B4737B">
        <w:t xml:space="preserve">sta continuando a consolidare </w:t>
      </w:r>
      <w:r>
        <w:t>i propri</w:t>
      </w:r>
      <w:r w:rsidRPr="00B4737B">
        <w:t xml:space="preserve"> occupati a tempo </w:t>
      </w:r>
      <w:r>
        <w:t>i</w:t>
      </w:r>
      <w:r w:rsidRPr="00B4737B">
        <w:t xml:space="preserve">ndeterminato divenuti ormai un </w:t>
      </w:r>
      <w:r w:rsidRPr="00B4737B">
        <w:rPr>
          <w:i/>
          <w:iCs/>
        </w:rPr>
        <w:t>asset</w:t>
      </w:r>
      <w:r w:rsidRPr="00B4737B">
        <w:t xml:space="preserve"> sempre più strategico anche per Agenzie per il Lavoro nell’accompagnamento della domanda con una offerta mirata e continua</w:t>
      </w:r>
      <w:r>
        <w:t xml:space="preserve"> </w:t>
      </w:r>
      <w:r w:rsidRPr="00B4737B">
        <w:t xml:space="preserve">in un contesto di </w:t>
      </w:r>
      <w:r>
        <w:t xml:space="preserve">crescente </w:t>
      </w:r>
      <w:proofErr w:type="spellStart"/>
      <w:r w:rsidRPr="00B4737B">
        <w:rPr>
          <w:i/>
          <w:iCs/>
        </w:rPr>
        <w:t>shortage</w:t>
      </w:r>
      <w:proofErr w:type="spellEnd"/>
      <w:r w:rsidRPr="00B4737B">
        <w:t xml:space="preserve"> della forza lavoro disponibile.</w:t>
      </w:r>
    </w:p>
    <w:p w14:paraId="7E947297" w14:textId="749A15BF" w:rsidR="000A211A" w:rsidRDefault="000A211A" w:rsidP="000A211A">
      <w:pPr>
        <w:jc w:val="both"/>
      </w:pPr>
      <w:r>
        <w:lastRenderedPageBreak/>
        <w:t xml:space="preserve">Per quanto riguarda le caratteristiche dell’offerta di lavoro in </w:t>
      </w:r>
      <w:r w:rsidR="003E7E05">
        <w:t>S</w:t>
      </w:r>
      <w:r>
        <w:t>omministrazione, il contratto continua ad esprimere distintive peculiarità, a partire da una forte caratterizzazione giovanile attestata dal dato (relativo al II trimestre 2022</w:t>
      </w:r>
      <w:r>
        <w:rPr>
          <w:rStyle w:val="Rimandonotaapidipagina"/>
        </w:rPr>
        <w:footnoteReference w:id="24"/>
      </w:r>
      <w:r>
        <w:t>) secondo cui il 33,6% dei lavoratori occupati con contratto di somministrazione ha tra i 25 e i 34 anni, a cui si aggiunge una rilevante quota relativa alle classi dei più giovani (15-24 anni) pari ad un ulteriore 20,7%.</w:t>
      </w:r>
    </w:p>
    <w:p w14:paraId="1FFD0B0F" w14:textId="77777777" w:rsidR="000A211A" w:rsidRDefault="000A211A" w:rsidP="000A211A">
      <w:pPr>
        <w:jc w:val="both"/>
      </w:pPr>
      <w:r>
        <w:t>Nel corso della prima parte del 2022 la componente più anziana (55-74 anni), che rappresenta il 7,4% dei lavoratori in somministrazione, ha fatto però registrare la maggiore crescita tra tutte le classi di età rispetto al secondo trimestre 2021 (+19,9%).</w:t>
      </w:r>
    </w:p>
    <w:p w14:paraId="499E1032" w14:textId="30CFD7EC" w:rsidR="000A211A" w:rsidRDefault="000A211A" w:rsidP="000A211A">
      <w:pPr>
        <w:jc w:val="both"/>
      </w:pPr>
      <w:r>
        <w:t xml:space="preserve">Tra le principali caratteristiche degli occupati tramite Agenzie per il Lavoro emerge, inoltre, come il 55,6% possieda un titolo di studio secondario superiore e il 12,2% una laurea. Il dato complessivo della Somministrazione indica, quindi, una quota di occupati con qualifiche medio alte (cioè con almeno il diploma di scuola secondaria superiore) ben al disopra del dato relativo all’intero mercato del lavoro alle dipendenze, nel quale la componente più qualificata </w:t>
      </w:r>
      <w:r w:rsidR="006A2AAE">
        <w:t xml:space="preserve">(diplomati e laureati) </w:t>
      </w:r>
      <w:r>
        <w:t>arriva al 53%</w:t>
      </w:r>
      <w:r>
        <w:rPr>
          <w:rStyle w:val="Rimandonotaapidipagina"/>
        </w:rPr>
        <w:footnoteReference w:id="25"/>
      </w:r>
      <w:r>
        <w:t xml:space="preserve">. </w:t>
      </w:r>
    </w:p>
    <w:p w14:paraId="4FE02E85" w14:textId="678635DB" w:rsidR="000A211A" w:rsidRDefault="000A211A" w:rsidP="000A211A">
      <w:pPr>
        <w:jc w:val="both"/>
      </w:pPr>
      <w:r>
        <w:t>Da evidenziare anche la dinamica di crescita all’interno della Somministrazione proprio della componente più qualificata. Dal 2012 al 2021 la quota relativa ai somministrati in possesso di almeno il diploma di scuola secondaria superiore è cresciuta di oltre 12 punti percentuali, passando dal 44,8% del 2012 al 57% del 2021. Di contro, si è contratta la quota dei lavoratori con livelli d’istruzione bassi (non superiori alla licenza media), passati dal 42,8% del 2012 al 29,6% del 2021. La quota dei lavoratori con livelli di istruzione elevati (e cioè universitari) si è invece mantenuta storicamente più stabile, crescendo solamente di 1 punto percentuale tra il 2012 (12,2%) e il 2021 (13,2%).</w:t>
      </w:r>
    </w:p>
    <w:p w14:paraId="666594C8" w14:textId="1DC34C9B" w:rsidR="000A211A" w:rsidRDefault="000A211A" w:rsidP="000A211A">
      <w:pPr>
        <w:jc w:val="both"/>
      </w:pPr>
      <w:r>
        <w:t xml:space="preserve">Oltre la metà dei lavoratori in </w:t>
      </w:r>
      <w:r w:rsidR="006A2AAE">
        <w:t>S</w:t>
      </w:r>
      <w:r>
        <w:t xml:space="preserve">omministrazione (52,8%) </w:t>
      </w:r>
      <w:r w:rsidR="001860E5">
        <w:t xml:space="preserve">nel 2022 </w:t>
      </w:r>
      <w:r>
        <w:t>risulta</w:t>
      </w:r>
      <w:r w:rsidR="001860E5">
        <w:t xml:space="preserve">va </w:t>
      </w:r>
      <w:r>
        <w:t xml:space="preserve">essere occupata tra gli </w:t>
      </w:r>
      <w:r w:rsidRPr="005464D4">
        <w:t>artigiani, operai specializzati</w:t>
      </w:r>
      <w:r>
        <w:t xml:space="preserve"> o nelle </w:t>
      </w:r>
      <w:r w:rsidRPr="005464D4">
        <w:t>professioni qualificate nelle attività commerciali e nei servizi</w:t>
      </w:r>
      <w:r>
        <w:t xml:space="preserve">, o ancora nelle </w:t>
      </w:r>
      <w:r w:rsidRPr="005464D4">
        <w:t>professioni esecutive nel lavoro d’ufficio</w:t>
      </w:r>
      <w:r>
        <w:t xml:space="preserve"> e nelle </w:t>
      </w:r>
      <w:r w:rsidRPr="005464D4">
        <w:t>professioni tecniche o scientifiche</w:t>
      </w:r>
      <w:r>
        <w:t xml:space="preserve">. Si tratta di figure per le quali almeno il livello di istruzione secondario superiore è comunque necessario. La restante quota è rappresentata da figure meno specializzate, come i </w:t>
      </w:r>
      <w:r w:rsidRPr="005464D4">
        <w:t>conduttori di impianti, operai di macchinari fissi e mobili nonché conducenti di veicoli</w:t>
      </w:r>
      <w:r>
        <w:t xml:space="preserve"> (21,5%) e </w:t>
      </w:r>
      <w:r w:rsidRPr="005464D4">
        <w:t>professioni non qualificate</w:t>
      </w:r>
      <w:r>
        <w:t xml:space="preserve"> (25,7%). </w:t>
      </w:r>
    </w:p>
    <w:p w14:paraId="0DB9171E" w14:textId="77777777" w:rsidR="001860E5" w:rsidRDefault="000A211A" w:rsidP="000A211A">
      <w:pPr>
        <w:jc w:val="both"/>
      </w:pPr>
      <w:r>
        <w:t xml:space="preserve">Nel II </w:t>
      </w:r>
      <w:r w:rsidR="006A2AAE">
        <w:t>T</w:t>
      </w:r>
      <w:r>
        <w:t xml:space="preserve">rimestre del 2022 si è registrata, inoltre, una forte crescita tendenziale delle professioni qualificate nelle attività commerciali e dei servizi: +31% rispetto al secondo trimestre 2021, ad indicare come il contratto stia espandendosi verso segmenti di domanda sempre più specializzati. </w:t>
      </w:r>
    </w:p>
    <w:p w14:paraId="6209AF25" w14:textId="205913BD" w:rsidR="000A211A" w:rsidRDefault="000A211A" w:rsidP="000A211A">
      <w:pPr>
        <w:jc w:val="both"/>
      </w:pPr>
      <w:r>
        <w:t xml:space="preserve">La crescente esigenza delle imprese di dotarsi di profili più qualificati e di realizzare un </w:t>
      </w:r>
      <w:proofErr w:type="spellStart"/>
      <w:r w:rsidRPr="005464D4">
        <w:rPr>
          <w:i/>
          <w:iCs/>
        </w:rPr>
        <w:t>upskilling</w:t>
      </w:r>
      <w:proofErr w:type="spellEnd"/>
      <w:r>
        <w:t xml:space="preserve"> delle competenze aziendali, immettendo nuova forza lavoro più qualificata, sta trovando nella Somministrazione una efficace e tempestiva soluzione, anche come strumento di selezione di profili </w:t>
      </w:r>
      <w:r w:rsidR="001860E5">
        <w:t xml:space="preserve">per esigenze </w:t>
      </w:r>
      <w:r>
        <w:t xml:space="preserve">permanenti per </w:t>
      </w:r>
      <w:r w:rsidR="001860E5">
        <w:t>il</w:t>
      </w:r>
      <w:r>
        <w:t xml:space="preserve"> turnover o per ricostruire la base occupazionale dopo lo stop pandemico.</w:t>
      </w:r>
    </w:p>
    <w:p w14:paraId="28910D43" w14:textId="66CC6481" w:rsidR="000A211A" w:rsidRDefault="000A211A" w:rsidP="000A211A">
      <w:pPr>
        <w:jc w:val="both"/>
      </w:pPr>
      <w:r>
        <w:t xml:space="preserve">Sempre per raffigurare le tendenze in atto nel mercato del lavoro in Somministrazione, con i dati più recenti disponibili </w:t>
      </w:r>
      <w:r w:rsidR="006A2AAE">
        <w:t>ritraibili dal</w:t>
      </w:r>
      <w:r>
        <w:t>l’analisi delle CO</w:t>
      </w:r>
      <w:r>
        <w:rPr>
          <w:rStyle w:val="Rimandonotaapidipagina"/>
        </w:rPr>
        <w:footnoteReference w:id="26"/>
      </w:r>
      <w:r>
        <w:t>, si conferma la concentrazione della domanda nel Nord del paese, con il 69% di occupati rilevati in questa macroarea nel secondo trimestre 2022.</w:t>
      </w:r>
    </w:p>
    <w:p w14:paraId="5FB68F9E" w14:textId="77777777" w:rsidR="000A211A" w:rsidRPr="006759DC" w:rsidRDefault="000A211A" w:rsidP="000A211A">
      <w:pPr>
        <w:jc w:val="both"/>
      </w:pPr>
      <w:r>
        <w:lastRenderedPageBreak/>
        <w:t xml:space="preserve">Per quanto riguarda i settori, la metà </w:t>
      </w:r>
      <w:r w:rsidRPr="006759DC">
        <w:t>(49,4%) dei lavoratori in somministrazione nel secondo trimestre 2022 era attiva nel settore dell’industria in senso stretto, che continua a rappresentare il settore trainante e a cui si associa il dato delle costruzioni con una quota di occupati pari al 2,8%. Seguono i servizi per le imprese e famiglie con il 30,1% ed il commercio con il 10,4%. Alberghi e ristoranti assorbivano una quota pari al 4,6% del totale della Somministrazione</w:t>
      </w:r>
      <w:r w:rsidRPr="006759DC">
        <w:rPr>
          <w:rStyle w:val="Rimandonotaapidipagina"/>
        </w:rPr>
        <w:footnoteReference w:id="27"/>
      </w:r>
      <w:r w:rsidRPr="006759DC">
        <w:t>. Il comparto della Pubblica Amministrazione impiegava nel secondo trimestre del 2022 una porzione molto ridotta, pari all’1,7% del totale dei somministrati (ma nel computo andrebbero inseriti parte dei servizi privati nell’ambito della sanità e trasporti e dell’istruzione). Infine, il settore agricolo ha continuato ad essere marginale rappresentando solo lo 0,7% dei lavoratori in somministrazione.</w:t>
      </w:r>
    </w:p>
    <w:p w14:paraId="79B076CA" w14:textId="78C97938" w:rsidR="000A211A" w:rsidRDefault="000A211A" w:rsidP="000A211A">
      <w:pPr>
        <w:jc w:val="both"/>
      </w:pPr>
      <w:r>
        <w:t xml:space="preserve">Rispetto alla distribuzione per genere nel secondo </w:t>
      </w:r>
      <w:r w:rsidR="006A2AAE">
        <w:t>T</w:t>
      </w:r>
      <w:r>
        <w:t>rimestre 2022, il 59,2% dei lavoratori occupati tramite agenzia era composto da uomini (corrispondentemente il 40,8% da donne). Si tratta di un rapporto ormai stabilizzato dal 2015. Osservando la composizione per genere rispetto alla tipologia di contratto in somministrazione risultava sempre nel II trimestre 2022 come il 21,7% degli uomini aveva un contratto a tempo indeterminato a fronte di una quota di donne con contratti a tempo indeterminato pari al 16,2%.</w:t>
      </w:r>
    </w:p>
    <w:p w14:paraId="2206880B" w14:textId="22FA2B5F" w:rsidR="00424714" w:rsidRDefault="00424714" w:rsidP="007C3F49">
      <w:pPr>
        <w:jc w:val="both"/>
      </w:pPr>
    </w:p>
    <w:p w14:paraId="725E9FD8" w14:textId="3327147C" w:rsidR="00015474" w:rsidRDefault="00015474" w:rsidP="007C3F49">
      <w:pPr>
        <w:jc w:val="both"/>
      </w:pPr>
    </w:p>
    <w:p w14:paraId="7D49ABFD" w14:textId="77777777" w:rsidR="00015474" w:rsidRPr="007C3F49" w:rsidRDefault="00015474" w:rsidP="007C3F49">
      <w:pPr>
        <w:jc w:val="both"/>
      </w:pPr>
    </w:p>
    <w:p w14:paraId="15B1A6FD" w14:textId="605F901B" w:rsidR="00424714" w:rsidRDefault="00424714" w:rsidP="007C3F49">
      <w:pPr>
        <w:jc w:val="both"/>
        <w:rPr>
          <w:b/>
          <w:bCs/>
        </w:rPr>
      </w:pPr>
      <w:r w:rsidRPr="00284216">
        <w:rPr>
          <w:b/>
          <w:bCs/>
        </w:rPr>
        <w:t>Lo scenario 2023</w:t>
      </w:r>
      <w:r w:rsidR="00551480">
        <w:rPr>
          <w:b/>
          <w:bCs/>
        </w:rPr>
        <w:t xml:space="preserve"> per la Somministrazione</w:t>
      </w:r>
    </w:p>
    <w:p w14:paraId="4D285771" w14:textId="77777777" w:rsidR="00551480" w:rsidRPr="00982112" w:rsidRDefault="00551480" w:rsidP="007C3F49">
      <w:pPr>
        <w:jc w:val="both"/>
        <w:rPr>
          <w:b/>
          <w:bCs/>
        </w:rPr>
      </w:pPr>
    </w:p>
    <w:p w14:paraId="02D45C0D" w14:textId="0E580C0A" w:rsidR="000A211A" w:rsidRPr="007C3F49" w:rsidRDefault="000A211A" w:rsidP="000A211A">
      <w:pPr>
        <w:jc w:val="both"/>
      </w:pPr>
      <w:r w:rsidRPr="007C3F49">
        <w:t xml:space="preserve">Gli ultimi andamenti registrati </w:t>
      </w:r>
      <w:r>
        <w:t xml:space="preserve">a Gennaio 2023 </w:t>
      </w:r>
      <w:r w:rsidRPr="007C3F49">
        <w:t>dal mercato della Somministrazione sembrano confermare la dinamica degli ultimi mesi del 2022</w:t>
      </w:r>
      <w:r>
        <w:t>,</w:t>
      </w:r>
      <w:r w:rsidRPr="007C3F49">
        <w:t xml:space="preserve"> con un ulteriore moderato calo della domanda di occupazione</w:t>
      </w:r>
      <w:r>
        <w:t>,</w:t>
      </w:r>
      <w:r w:rsidRPr="007C3F49">
        <w:t xml:space="preserve"> </w:t>
      </w:r>
      <w:r>
        <w:t>determinato però solo d</w:t>
      </w:r>
      <w:r w:rsidRPr="007C3F49">
        <w:t>alla componente a tempo determinato</w:t>
      </w:r>
      <w:r>
        <w:t>,</w:t>
      </w:r>
      <w:r w:rsidRPr="007C3F49">
        <w:t xml:space="preserve"> e con un contestuale consolidamento dei livelli di occupazione per la compon</w:t>
      </w:r>
      <w:r w:rsidRPr="00F326D4">
        <w:t>ente della Somministrazione a tempo indeterminato (che pure a Dicembre aveva registrato una frenata nell’andamento tendenziale positivo, sino a quel momento sempre crescente</w:t>
      </w:r>
      <w:r>
        <w:t xml:space="preserve">, </w:t>
      </w:r>
      <w:r w:rsidRPr="00F326D4">
        <w:t xml:space="preserve">con l’eccezione del mese di </w:t>
      </w:r>
      <w:r>
        <w:t>L</w:t>
      </w:r>
      <w:r w:rsidRPr="00F326D4">
        <w:t>uglio</w:t>
      </w:r>
      <w:r>
        <w:t>).</w:t>
      </w:r>
      <w:r w:rsidRPr="007C3F49">
        <w:t xml:space="preserve">   </w:t>
      </w:r>
    </w:p>
    <w:p w14:paraId="40EF5D7C" w14:textId="3832E162" w:rsidR="000A211A" w:rsidRDefault="000A211A" w:rsidP="000A211A">
      <w:pPr>
        <w:jc w:val="both"/>
      </w:pPr>
      <w:r>
        <w:t>L</w:t>
      </w:r>
      <w:r w:rsidRPr="007C3F49">
        <w:t xml:space="preserve">a domanda di lavoro </w:t>
      </w:r>
      <w:r w:rsidR="00551480">
        <w:t xml:space="preserve">italiana </w:t>
      </w:r>
      <w:r>
        <w:t>anche in uno scenario problematico per l’economia mondiale nel suo complesso</w:t>
      </w:r>
      <w:r w:rsidR="00551480">
        <w:t xml:space="preserve"> </w:t>
      </w:r>
      <w:r w:rsidR="00551480" w:rsidRPr="007C3F49">
        <w:t>continu</w:t>
      </w:r>
      <w:r w:rsidR="00551480">
        <w:t>erà</w:t>
      </w:r>
      <w:r w:rsidR="00551480" w:rsidRPr="007C3F49">
        <w:t xml:space="preserve"> a mantener</w:t>
      </w:r>
      <w:r w:rsidR="00551480">
        <w:t>e nel corso del</w:t>
      </w:r>
      <w:r w:rsidR="00551480" w:rsidRPr="007C3F49">
        <w:t xml:space="preserve"> 2023 una certa dinamicità</w:t>
      </w:r>
      <w:r w:rsidR="00015474">
        <w:t xml:space="preserve"> in grado di sostenere anche la domanda di occupazione in Somministrazione</w:t>
      </w:r>
      <w:r>
        <w:t xml:space="preserve">. I primi dati del 2023 indicano, del resto,  come gli andamenti </w:t>
      </w:r>
      <w:r w:rsidR="00EA4E85">
        <w:t xml:space="preserve">del mercato del lavoro </w:t>
      </w:r>
      <w:r>
        <w:t xml:space="preserve">siano ambivalenti, con il massimo occupazionale storico italiano raggiuto proprio a Gennaio 2023 con 23 milioni e 309 mila occupati, ma anche al contempo con una ripresa del tasso di disoccupazione dopo tredici mesi di cali continuativi. </w:t>
      </w:r>
    </w:p>
    <w:p w14:paraId="39E244A0" w14:textId="77777777" w:rsidR="000A211A" w:rsidRPr="007C3F49" w:rsidRDefault="000A211A" w:rsidP="000A211A">
      <w:pPr>
        <w:jc w:val="both"/>
      </w:pPr>
      <w:r>
        <w:t xml:space="preserve">Anche il </w:t>
      </w:r>
      <w:r w:rsidRPr="007C3F49">
        <w:t>clima di fiducia delle imprese nazionali rispetto agli andamenti dell’economia</w:t>
      </w:r>
      <w:r>
        <w:t>,</w:t>
      </w:r>
      <w:r w:rsidRPr="007C3F49">
        <w:t xml:space="preserve"> </w:t>
      </w:r>
      <w:r>
        <w:t xml:space="preserve">in un quadro di fondo di forte incertezza, restituisce prospettive di ripresa, </w:t>
      </w:r>
      <w:r w:rsidRPr="007C3F49">
        <w:t xml:space="preserve">anche </w:t>
      </w:r>
      <w:r>
        <w:t>grazie al</w:t>
      </w:r>
      <w:r w:rsidRPr="007C3F49">
        <w:t xml:space="preserve">le attese </w:t>
      </w:r>
      <w:r>
        <w:t>di</w:t>
      </w:r>
      <w:r w:rsidRPr="007C3F49">
        <w:t xml:space="preserve"> un calo dell’inflazione e per la moderazione dei prezzi dei prodotti energetici, che hanno caratterizzato lo scenario internazionale di fine anno. L’indice Istat sulla fiducia delle imprese a Dicembre 2022 e per il terzo mese consecutivo </w:t>
      </w:r>
      <w:r>
        <w:t xml:space="preserve">è infatti </w:t>
      </w:r>
      <w:r w:rsidRPr="007C3F49">
        <w:t xml:space="preserve">cresciuto, raggiungendo un livello superiore alla media del periodo Gennaio-Dicembre 2022. </w:t>
      </w:r>
    </w:p>
    <w:p w14:paraId="386F7B27" w14:textId="77777777" w:rsidR="000A211A" w:rsidRPr="007C3F49" w:rsidRDefault="000A211A" w:rsidP="000A211A">
      <w:pPr>
        <w:jc w:val="both"/>
      </w:pPr>
      <w:r w:rsidRPr="007C3F49">
        <w:lastRenderedPageBreak/>
        <w:t>L’aumento dell’indice è trainato dal comparto dei servizi e da quello dell’industria</w:t>
      </w:r>
      <w:r>
        <w:t>,</w:t>
      </w:r>
      <w:r w:rsidRPr="007C3F49">
        <w:t xml:space="preserve"> che sotto certi aspetti sembrano aver metabolizzato, almeno in parte, i fattori di incertezza legati alla guerra in atto nell’Europa orientale. La fiducia misurata da Istat include peraltro i giudizi specifici sul livello degli ordini e delle scorte e sui livelli attesi della produzione, sulle attese sugli ordini, sull’andamento degli affari e sulle vendite.</w:t>
      </w:r>
    </w:p>
    <w:p w14:paraId="27D45685" w14:textId="77777777" w:rsidR="000A211A" w:rsidRDefault="000A211A" w:rsidP="000A211A">
      <w:pPr>
        <w:jc w:val="both"/>
      </w:pPr>
      <w:r w:rsidRPr="007C3F49">
        <w:t xml:space="preserve">La </w:t>
      </w:r>
      <w:r>
        <w:t>S</w:t>
      </w:r>
      <w:r w:rsidRPr="007C3F49">
        <w:t>omministrazione</w:t>
      </w:r>
      <w:r>
        <w:t>,</w:t>
      </w:r>
      <w:r w:rsidRPr="007C3F49">
        <w:t xml:space="preserve"> con i servizi specialistici di recruiting e di matching associati</w:t>
      </w:r>
      <w:r>
        <w:t>,</w:t>
      </w:r>
      <w:r w:rsidRPr="007C3F49">
        <w:t xml:space="preserve"> </w:t>
      </w:r>
      <w:r>
        <w:t xml:space="preserve">potrà quindi </w:t>
      </w:r>
      <w:r w:rsidRPr="007C3F49">
        <w:t>manten</w:t>
      </w:r>
      <w:r>
        <w:t>ere</w:t>
      </w:r>
      <w:r w:rsidRPr="007C3F49">
        <w:t xml:space="preserve"> anche in questo periodo di profonda incertezza la capacità di offrire competitivi servizi per il lavoro</w:t>
      </w:r>
      <w:r>
        <w:t>,</w:t>
      </w:r>
      <w:r w:rsidRPr="007C3F49">
        <w:t xml:space="preserve"> rispondendo con successo ad una domanda che di fronte ad un quadro economico così destabilizzato</w:t>
      </w:r>
      <w:r>
        <w:t xml:space="preserve">, </w:t>
      </w:r>
      <w:r w:rsidRPr="007C3F49">
        <w:t xml:space="preserve">quando chiede occupazione flessibile la associa sempre più a dosi crescenti di professionalità e competenze. </w:t>
      </w:r>
    </w:p>
    <w:p w14:paraId="59DE98B7" w14:textId="77777777" w:rsidR="006274B7" w:rsidRDefault="006274B7" w:rsidP="000A211A">
      <w:pPr>
        <w:jc w:val="both"/>
      </w:pPr>
      <w:r>
        <w:t>N</w:t>
      </w:r>
      <w:r w:rsidR="000A211A">
        <w:t>el mercato del lavoro p</w:t>
      </w:r>
      <w:r w:rsidR="000A211A" w:rsidRPr="007C3F49">
        <w:t>erma</w:t>
      </w:r>
      <w:r w:rsidR="000A211A">
        <w:t xml:space="preserve">rranno e si intensificheranno </w:t>
      </w:r>
      <w:r w:rsidR="000A211A" w:rsidRPr="007C3F49">
        <w:t>carenze di manodopera in settori specifici</w:t>
      </w:r>
      <w:r w:rsidR="000A211A">
        <w:t xml:space="preserve"> o per aree di competenza </w:t>
      </w:r>
      <w:r w:rsidR="000A211A" w:rsidRPr="007C3F49">
        <w:t xml:space="preserve">come ad esempio per le competenze digitali o per </w:t>
      </w:r>
      <w:r w:rsidR="000A211A">
        <w:t xml:space="preserve">quelle necessarie ad </w:t>
      </w:r>
      <w:r w:rsidR="000A211A" w:rsidRPr="007C3F49">
        <w:t xml:space="preserve">accompagnare </w:t>
      </w:r>
      <w:r w:rsidR="000A211A">
        <w:t>quei</w:t>
      </w:r>
      <w:r w:rsidR="000A211A" w:rsidRPr="007C3F49">
        <w:t xml:space="preserve"> processi che alimentano la transizione ecologica</w:t>
      </w:r>
      <w:r w:rsidR="000A211A">
        <w:t>,</w:t>
      </w:r>
      <w:r w:rsidR="000A211A" w:rsidRPr="007C3F49">
        <w:t xml:space="preserve"> anche in settori tradizionali</w:t>
      </w:r>
      <w:r w:rsidR="000A211A">
        <w:t xml:space="preserve">.  </w:t>
      </w:r>
    </w:p>
    <w:p w14:paraId="1807ED82" w14:textId="4B05B83F" w:rsidR="000A211A" w:rsidRDefault="000A211A" w:rsidP="000A211A">
      <w:pPr>
        <w:jc w:val="both"/>
      </w:pPr>
      <w:r>
        <w:t xml:space="preserve">Lo </w:t>
      </w:r>
      <w:proofErr w:type="spellStart"/>
      <w:r w:rsidRPr="009B3E55">
        <w:rPr>
          <w:i/>
          <w:iCs/>
        </w:rPr>
        <w:t>shortage</w:t>
      </w:r>
      <w:proofErr w:type="spellEnd"/>
      <w:r>
        <w:t xml:space="preserve"> di offerta di lavoro </w:t>
      </w:r>
      <w:r w:rsidR="006274B7">
        <w:t xml:space="preserve">nel 2023 continuerà a manifestarsi tenuto conto che questa condizione </w:t>
      </w:r>
      <w:r>
        <w:t xml:space="preserve">diverrà </w:t>
      </w:r>
      <w:r w:rsidR="00316202">
        <w:t xml:space="preserve">nei prossimi anni </w:t>
      </w:r>
      <w:r>
        <w:t xml:space="preserve">un fenomeno sistemico, con il lavoro che tenderà ad assumere le caratteristiche di risorsa sempre più scarsa in virtù delle dinamiche demografiche ormai chiaramente in atto e che stanno </w:t>
      </w:r>
      <w:r w:rsidR="00015474">
        <w:t xml:space="preserve">già </w:t>
      </w:r>
      <w:r>
        <w:t xml:space="preserve">determinando il calo della popolazione italiana in età lavorativa, con un andamento che è previsto in decisa accelerazione nei prossimi anni. </w:t>
      </w:r>
    </w:p>
    <w:p w14:paraId="225681D3" w14:textId="357A135E" w:rsidR="006274B7" w:rsidRDefault="000A211A" w:rsidP="000A211A">
      <w:pPr>
        <w:jc w:val="both"/>
      </w:pPr>
      <w:r>
        <w:t>La Somministrazione con l’infrastruttura di intermediazione associata</w:t>
      </w:r>
      <w:r w:rsidR="006274B7">
        <w:t xml:space="preserve">, </w:t>
      </w:r>
      <w:r>
        <w:t>orientata alla ricerca e selezione dei profili e con l’impegno formativo che il contratto assume nei confronti dei lavoratori, non potrà che continuare a svolgere un ruolo chiave</w:t>
      </w:r>
      <w:r w:rsidR="006274B7">
        <w:t xml:space="preserve"> nel mercato del lavoro</w:t>
      </w:r>
      <w:r>
        <w:t xml:space="preserve">. </w:t>
      </w:r>
    </w:p>
    <w:p w14:paraId="527A4155" w14:textId="57825272" w:rsidR="000A211A" w:rsidRDefault="000A211A" w:rsidP="000A211A">
      <w:pPr>
        <w:jc w:val="both"/>
      </w:pPr>
      <w:r w:rsidRPr="00661FCD">
        <w:t>La nuova sfida per la Somministrazione sarà</w:t>
      </w:r>
      <w:r w:rsidR="006274B7">
        <w:t xml:space="preserve">, perciò, </w:t>
      </w:r>
      <w:r w:rsidRPr="00661FCD">
        <w:t>sempre più quella di riuscire a garantire efficaci processi di recruiting e di sostenere al contempo i processi di qualificazione dei lavoratori in funzione delle esigenze sempre più complesse della domanda</w:t>
      </w:r>
      <w:r>
        <w:t>.</w:t>
      </w:r>
    </w:p>
    <w:p w14:paraId="43ECC876" w14:textId="6DD3331A" w:rsidR="000A211A" w:rsidRDefault="000A211A" w:rsidP="007C3F49">
      <w:pPr>
        <w:jc w:val="both"/>
      </w:pPr>
    </w:p>
    <w:sectPr w:rsidR="000A211A" w:rsidSect="00E169E0">
      <w:headerReference w:type="default" r:id="rId10"/>
      <w:pgSz w:w="11906" w:h="16838"/>
      <w:pgMar w:top="1417" w:right="1134" w:bottom="1134" w:left="1134" w:header="708" w:footer="12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4DF2" w14:textId="77777777" w:rsidR="0096229C" w:rsidRDefault="0096229C" w:rsidP="00EA74CF">
      <w:pPr>
        <w:spacing w:after="0" w:line="240" w:lineRule="auto"/>
      </w:pPr>
      <w:r>
        <w:separator/>
      </w:r>
    </w:p>
  </w:endnote>
  <w:endnote w:type="continuationSeparator" w:id="0">
    <w:p w14:paraId="1476AC0F" w14:textId="77777777" w:rsidR="0096229C" w:rsidRDefault="0096229C" w:rsidP="00EA7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F7D0" w14:textId="090DA703" w:rsidR="00E169E0" w:rsidRDefault="00E169E0" w:rsidP="00E169E0">
    <w:pPr>
      <w:pStyle w:val="Pidipagina"/>
      <w:jc w:val="center"/>
    </w:pPr>
    <w:r>
      <w:rPr>
        <w:noProof/>
      </w:rPr>
      <w:drawing>
        <wp:inline distT="0" distB="0" distL="0" distR="0" wp14:anchorId="6BCCC5CD" wp14:editId="60728522">
          <wp:extent cx="485775" cy="528222"/>
          <wp:effectExtent l="0" t="0" r="0" b="5715"/>
          <wp:docPr id="2167723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72359" name="Immagine 216772359"/>
                  <pic:cNvPicPr/>
                </pic:nvPicPr>
                <pic:blipFill>
                  <a:blip r:embed="rId1">
                    <a:extLst>
                      <a:ext uri="{28A0092B-C50C-407E-A947-70E740481C1C}">
                        <a14:useLocalDpi xmlns:a14="http://schemas.microsoft.com/office/drawing/2010/main" val="0"/>
                      </a:ext>
                    </a:extLst>
                  </a:blip>
                  <a:stretch>
                    <a:fillRect/>
                  </a:stretch>
                </pic:blipFill>
                <pic:spPr>
                  <a:xfrm>
                    <a:off x="0" y="0"/>
                    <a:ext cx="492285" cy="53530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CA58" w14:textId="77777777" w:rsidR="0096229C" w:rsidRDefault="0096229C" w:rsidP="00EA74CF">
      <w:pPr>
        <w:spacing w:after="0" w:line="240" w:lineRule="auto"/>
      </w:pPr>
      <w:r>
        <w:separator/>
      </w:r>
    </w:p>
  </w:footnote>
  <w:footnote w:type="continuationSeparator" w:id="0">
    <w:p w14:paraId="3575B917" w14:textId="77777777" w:rsidR="0096229C" w:rsidRDefault="0096229C" w:rsidP="00EA74CF">
      <w:pPr>
        <w:spacing w:after="0" w:line="240" w:lineRule="auto"/>
      </w:pPr>
      <w:r>
        <w:continuationSeparator/>
      </w:r>
    </w:p>
  </w:footnote>
  <w:footnote w:id="1">
    <w:p w14:paraId="74A5CFE6" w14:textId="23AFF852" w:rsidR="00BE7834" w:rsidRDefault="00BE7834" w:rsidP="00D76347">
      <w:pPr>
        <w:pStyle w:val="Testonotaapidipagina"/>
        <w:rPr>
          <w:sz w:val="18"/>
          <w:szCs w:val="18"/>
        </w:rPr>
      </w:pPr>
      <w:r>
        <w:rPr>
          <w:sz w:val="18"/>
          <w:szCs w:val="18"/>
        </w:rPr>
        <w:footnoteRef/>
      </w:r>
      <w:r>
        <w:rPr>
          <w:sz w:val="18"/>
          <w:szCs w:val="18"/>
        </w:rPr>
        <w:t xml:space="preserve"> La nota è stata chiusa il 1</w:t>
      </w:r>
      <w:r w:rsidR="006C602A">
        <w:rPr>
          <w:sz w:val="18"/>
          <w:szCs w:val="18"/>
        </w:rPr>
        <w:t>5 M</w:t>
      </w:r>
      <w:r>
        <w:rPr>
          <w:sz w:val="18"/>
          <w:szCs w:val="18"/>
        </w:rPr>
        <w:t xml:space="preserve">arzo 2023. Le stime e le analisi presentate si riferiscono ai dati pubblicati </w:t>
      </w:r>
      <w:r w:rsidR="00D76347">
        <w:rPr>
          <w:sz w:val="18"/>
          <w:szCs w:val="18"/>
        </w:rPr>
        <w:t xml:space="preserve">ed alle analisi disponibili </w:t>
      </w:r>
      <w:r>
        <w:rPr>
          <w:sz w:val="18"/>
          <w:szCs w:val="18"/>
        </w:rPr>
        <w:t>sino a quella data</w:t>
      </w:r>
      <w:r w:rsidR="00D76347">
        <w:rPr>
          <w:sz w:val="18"/>
          <w:szCs w:val="18"/>
        </w:rPr>
        <w:t xml:space="preserve">. </w:t>
      </w:r>
    </w:p>
  </w:footnote>
  <w:footnote w:id="2">
    <w:p w14:paraId="1825B3C0" w14:textId="0692D43D" w:rsidR="00BE7834" w:rsidRDefault="00BE7834" w:rsidP="00BE7834">
      <w:pPr>
        <w:pStyle w:val="Testonotaapidipagina"/>
        <w:rPr>
          <w:lang w:val="en-US"/>
        </w:rPr>
      </w:pPr>
      <w:r>
        <w:rPr>
          <w:sz w:val="18"/>
          <w:szCs w:val="18"/>
        </w:rPr>
        <w:footnoteRef/>
      </w:r>
      <w:r w:rsidRPr="00BE7834">
        <w:rPr>
          <w:sz w:val="18"/>
          <w:szCs w:val="18"/>
          <w:lang w:val="en-GB"/>
        </w:rPr>
        <w:t xml:space="preserve"> </w:t>
      </w:r>
      <w:proofErr w:type="spellStart"/>
      <w:r w:rsidR="00846778">
        <w:rPr>
          <w:sz w:val="18"/>
          <w:szCs w:val="18"/>
          <w:lang w:val="en-GB"/>
        </w:rPr>
        <w:t>Ocse</w:t>
      </w:r>
      <w:proofErr w:type="spellEnd"/>
      <w:r w:rsidRPr="00BE7834">
        <w:rPr>
          <w:sz w:val="18"/>
          <w:szCs w:val="18"/>
          <w:lang w:val="en-GB"/>
        </w:rPr>
        <w:t>,</w:t>
      </w:r>
      <w:r>
        <w:rPr>
          <w:i/>
          <w:iCs/>
          <w:sz w:val="18"/>
          <w:szCs w:val="18"/>
          <w:lang w:val="en-US"/>
        </w:rPr>
        <w:t xml:space="preserve"> OECD Economic Outlook,</w:t>
      </w:r>
      <w:r>
        <w:rPr>
          <w:sz w:val="18"/>
          <w:szCs w:val="18"/>
          <w:lang w:val="en-US"/>
        </w:rPr>
        <w:t xml:space="preserve"> </w:t>
      </w:r>
      <w:proofErr w:type="spellStart"/>
      <w:r w:rsidR="00087344">
        <w:rPr>
          <w:sz w:val="18"/>
          <w:szCs w:val="18"/>
          <w:lang w:val="en-US"/>
        </w:rPr>
        <w:t>N</w:t>
      </w:r>
      <w:r>
        <w:rPr>
          <w:sz w:val="18"/>
          <w:szCs w:val="18"/>
          <w:lang w:val="en-US"/>
        </w:rPr>
        <w:t>ovembre</w:t>
      </w:r>
      <w:proofErr w:type="spellEnd"/>
      <w:r>
        <w:rPr>
          <w:sz w:val="18"/>
          <w:szCs w:val="18"/>
          <w:lang w:val="en-US"/>
        </w:rPr>
        <w:t xml:space="preserve"> 2022</w:t>
      </w:r>
    </w:p>
  </w:footnote>
  <w:footnote w:id="3">
    <w:p w14:paraId="1BA9DE71" w14:textId="70860FA2" w:rsidR="008D6399" w:rsidRDefault="008D6399" w:rsidP="008D6399">
      <w:pPr>
        <w:pStyle w:val="Testonotaapidipagina"/>
        <w:rPr>
          <w:sz w:val="18"/>
          <w:szCs w:val="18"/>
        </w:rPr>
      </w:pPr>
      <w:r>
        <w:rPr>
          <w:sz w:val="18"/>
          <w:szCs w:val="18"/>
        </w:rPr>
        <w:footnoteRef/>
      </w:r>
      <w:r>
        <w:rPr>
          <w:sz w:val="18"/>
          <w:szCs w:val="18"/>
        </w:rPr>
        <w:t xml:space="preserve"> Fonte: dati </w:t>
      </w:r>
      <w:r w:rsidR="00846778">
        <w:rPr>
          <w:sz w:val="18"/>
          <w:szCs w:val="18"/>
        </w:rPr>
        <w:t>Ocse</w:t>
      </w:r>
      <w:r>
        <w:rPr>
          <w:sz w:val="18"/>
          <w:szCs w:val="18"/>
        </w:rPr>
        <w:t xml:space="preserve"> e </w:t>
      </w:r>
      <w:proofErr w:type="spellStart"/>
      <w:r w:rsidR="00846778">
        <w:rPr>
          <w:sz w:val="18"/>
          <w:szCs w:val="18"/>
        </w:rPr>
        <w:t>Imf</w:t>
      </w:r>
      <w:proofErr w:type="spellEnd"/>
      <w:r>
        <w:rPr>
          <w:sz w:val="18"/>
          <w:szCs w:val="18"/>
        </w:rPr>
        <w:t xml:space="preserve"> </w:t>
      </w:r>
      <w:r w:rsidR="00D87F64">
        <w:rPr>
          <w:sz w:val="18"/>
          <w:szCs w:val="18"/>
        </w:rPr>
        <w:t>2022/</w:t>
      </w:r>
      <w:r>
        <w:rPr>
          <w:sz w:val="18"/>
          <w:szCs w:val="18"/>
        </w:rPr>
        <w:t>2023</w:t>
      </w:r>
    </w:p>
  </w:footnote>
  <w:footnote w:id="4">
    <w:p w14:paraId="622F2BF1" w14:textId="6CB0C38A" w:rsidR="00815471" w:rsidRDefault="00815471" w:rsidP="00815471">
      <w:pPr>
        <w:pStyle w:val="Testonotaapidipagina"/>
        <w:rPr>
          <w:i/>
          <w:iCs/>
          <w:sz w:val="18"/>
          <w:szCs w:val="18"/>
        </w:rPr>
      </w:pPr>
      <w:r>
        <w:rPr>
          <w:i/>
          <w:iCs/>
          <w:sz w:val="18"/>
          <w:szCs w:val="18"/>
        </w:rPr>
        <w:footnoteRef/>
      </w:r>
      <w:r>
        <w:rPr>
          <w:i/>
          <w:iCs/>
          <w:sz w:val="18"/>
          <w:szCs w:val="18"/>
        </w:rPr>
        <w:t xml:space="preserve"> </w:t>
      </w:r>
      <w:r w:rsidRPr="003713F6">
        <w:rPr>
          <w:sz w:val="18"/>
          <w:szCs w:val="18"/>
        </w:rPr>
        <w:t>Fondo Monetario Internazionale</w:t>
      </w:r>
      <w:r>
        <w:rPr>
          <w:i/>
          <w:iCs/>
          <w:sz w:val="18"/>
          <w:szCs w:val="18"/>
        </w:rPr>
        <w:t xml:space="preserve">, World </w:t>
      </w:r>
      <w:proofErr w:type="spellStart"/>
      <w:r>
        <w:rPr>
          <w:i/>
          <w:iCs/>
          <w:sz w:val="18"/>
          <w:szCs w:val="18"/>
        </w:rPr>
        <w:t>Economic</w:t>
      </w:r>
      <w:proofErr w:type="spellEnd"/>
      <w:r>
        <w:rPr>
          <w:i/>
          <w:iCs/>
          <w:sz w:val="18"/>
          <w:szCs w:val="18"/>
        </w:rPr>
        <w:t xml:space="preserve"> Outlook Update, </w:t>
      </w:r>
      <w:r w:rsidR="00087344">
        <w:rPr>
          <w:sz w:val="18"/>
          <w:szCs w:val="18"/>
        </w:rPr>
        <w:t>F</w:t>
      </w:r>
      <w:r>
        <w:rPr>
          <w:sz w:val="18"/>
          <w:szCs w:val="18"/>
        </w:rPr>
        <w:t>ebbraio 2023</w:t>
      </w:r>
    </w:p>
  </w:footnote>
  <w:footnote w:id="5">
    <w:p w14:paraId="742919B5" w14:textId="77777777" w:rsidR="00C75A54" w:rsidRPr="00C44D38" w:rsidRDefault="00C75A54" w:rsidP="00C75A54">
      <w:pPr>
        <w:pStyle w:val="Testonotaapidipagina"/>
        <w:rPr>
          <w:sz w:val="18"/>
          <w:szCs w:val="18"/>
        </w:rPr>
      </w:pPr>
      <w:r w:rsidRPr="00C44D38">
        <w:rPr>
          <w:i/>
          <w:iCs/>
          <w:sz w:val="18"/>
          <w:szCs w:val="18"/>
        </w:rPr>
        <w:footnoteRef/>
      </w:r>
      <w:r w:rsidRPr="00C44D38">
        <w:rPr>
          <w:i/>
          <w:iCs/>
          <w:sz w:val="18"/>
          <w:szCs w:val="18"/>
        </w:rPr>
        <w:t xml:space="preserve"> </w:t>
      </w:r>
      <w:r w:rsidRPr="00C44D38">
        <w:rPr>
          <w:sz w:val="18"/>
          <w:szCs w:val="18"/>
        </w:rPr>
        <w:t>Fonte: dati Eurostat 2022/2023.</w:t>
      </w:r>
    </w:p>
  </w:footnote>
  <w:footnote w:id="6">
    <w:p w14:paraId="069D6A67" w14:textId="61776064" w:rsidR="00BE7834" w:rsidRPr="00C44D38" w:rsidRDefault="00BE7834" w:rsidP="00BE7834">
      <w:pPr>
        <w:pStyle w:val="Testonotaapidipagina"/>
        <w:rPr>
          <w:rStyle w:val="Rimandonotaapidipagina"/>
          <w:sz w:val="18"/>
          <w:szCs w:val="18"/>
        </w:rPr>
      </w:pPr>
      <w:r w:rsidRPr="00C44D38">
        <w:rPr>
          <w:sz w:val="18"/>
          <w:szCs w:val="18"/>
        </w:rPr>
        <w:footnoteRef/>
      </w:r>
      <w:r w:rsidRPr="00C44D38">
        <w:rPr>
          <w:sz w:val="18"/>
          <w:szCs w:val="18"/>
        </w:rPr>
        <w:t xml:space="preserve"> Fonte: dati </w:t>
      </w:r>
      <w:r w:rsidR="00C04070">
        <w:rPr>
          <w:sz w:val="18"/>
          <w:szCs w:val="18"/>
        </w:rPr>
        <w:t>Ocse</w:t>
      </w:r>
      <w:r w:rsidRPr="00C44D38">
        <w:rPr>
          <w:sz w:val="18"/>
          <w:szCs w:val="18"/>
        </w:rPr>
        <w:t xml:space="preserve"> 2022/2023</w:t>
      </w:r>
    </w:p>
  </w:footnote>
  <w:footnote w:id="7">
    <w:p w14:paraId="3BE07CB6" w14:textId="75A42BDE" w:rsidR="0058263A" w:rsidRPr="00C44D38" w:rsidRDefault="0058263A" w:rsidP="0058263A">
      <w:pPr>
        <w:pStyle w:val="Testonotaapidipagina"/>
        <w:rPr>
          <w:sz w:val="18"/>
          <w:szCs w:val="18"/>
        </w:rPr>
      </w:pPr>
      <w:r w:rsidRPr="00C44D38">
        <w:rPr>
          <w:i/>
          <w:iCs/>
          <w:sz w:val="18"/>
          <w:szCs w:val="18"/>
        </w:rPr>
        <w:footnoteRef/>
      </w:r>
      <w:r w:rsidRPr="00C44D38">
        <w:rPr>
          <w:i/>
          <w:iCs/>
          <w:sz w:val="18"/>
          <w:szCs w:val="18"/>
        </w:rPr>
        <w:t xml:space="preserve"> </w:t>
      </w:r>
      <w:r w:rsidR="00D87F64" w:rsidRPr="00220099">
        <w:rPr>
          <w:i/>
          <w:iCs/>
          <w:sz w:val="18"/>
          <w:szCs w:val="18"/>
        </w:rPr>
        <w:t>Ibid</w:t>
      </w:r>
      <w:r w:rsidR="00D87F64" w:rsidRPr="00C44D38">
        <w:rPr>
          <w:sz w:val="18"/>
          <w:szCs w:val="18"/>
        </w:rPr>
        <w:t>. Nota 4</w:t>
      </w:r>
      <w:r w:rsidRPr="00C44D38">
        <w:rPr>
          <w:i/>
          <w:iCs/>
          <w:sz w:val="18"/>
          <w:szCs w:val="18"/>
        </w:rPr>
        <w:t xml:space="preserve"> </w:t>
      </w:r>
    </w:p>
  </w:footnote>
  <w:footnote w:id="8">
    <w:p w14:paraId="0769956D" w14:textId="130A4F91" w:rsidR="00744B72" w:rsidRPr="00C44D38" w:rsidRDefault="00744B72" w:rsidP="00744B72">
      <w:pPr>
        <w:pStyle w:val="Testonotaapidipagina"/>
        <w:rPr>
          <w:sz w:val="18"/>
          <w:szCs w:val="18"/>
        </w:rPr>
      </w:pPr>
      <w:r w:rsidRPr="00C44D38">
        <w:rPr>
          <w:sz w:val="18"/>
          <w:szCs w:val="18"/>
        </w:rPr>
        <w:footnoteRef/>
      </w:r>
      <w:r w:rsidRPr="00C44D38">
        <w:rPr>
          <w:sz w:val="18"/>
          <w:szCs w:val="18"/>
        </w:rPr>
        <w:t xml:space="preserve"> </w:t>
      </w:r>
      <w:r w:rsidR="00D14A5E" w:rsidRPr="00220099">
        <w:rPr>
          <w:i/>
          <w:iCs/>
          <w:sz w:val="18"/>
          <w:szCs w:val="18"/>
        </w:rPr>
        <w:t>Ibid</w:t>
      </w:r>
      <w:r w:rsidR="00D14A5E" w:rsidRPr="00C44D38">
        <w:rPr>
          <w:sz w:val="18"/>
          <w:szCs w:val="18"/>
        </w:rPr>
        <w:t>. Nota 4</w:t>
      </w:r>
    </w:p>
  </w:footnote>
  <w:footnote w:id="9">
    <w:p w14:paraId="1FA9B6FD" w14:textId="77777777" w:rsidR="00BE7834" w:rsidRDefault="00BE7834" w:rsidP="00BE7834">
      <w:pPr>
        <w:pStyle w:val="Testonotaapidipagina"/>
        <w:rPr>
          <w:sz w:val="18"/>
          <w:szCs w:val="18"/>
        </w:rPr>
      </w:pPr>
      <w:r w:rsidRPr="00C44D38">
        <w:rPr>
          <w:sz w:val="18"/>
          <w:szCs w:val="18"/>
        </w:rPr>
        <w:footnoteRef/>
      </w:r>
      <w:r w:rsidRPr="00C44D38">
        <w:rPr>
          <w:sz w:val="18"/>
          <w:szCs w:val="18"/>
        </w:rPr>
        <w:t xml:space="preserve"> </w:t>
      </w:r>
      <w:r w:rsidRPr="00C44D38">
        <w:rPr>
          <w:i/>
          <w:iCs/>
          <w:sz w:val="18"/>
          <w:szCs w:val="18"/>
        </w:rPr>
        <w:t>Ibid</w:t>
      </w:r>
      <w:r w:rsidRPr="00C44D38">
        <w:rPr>
          <w:sz w:val="18"/>
          <w:szCs w:val="18"/>
        </w:rPr>
        <w:t>. Nota 4</w:t>
      </w:r>
    </w:p>
  </w:footnote>
  <w:footnote w:id="10">
    <w:p w14:paraId="4CDDD3AA" w14:textId="073CD61D" w:rsidR="00BE7834" w:rsidRPr="00087344" w:rsidRDefault="00BE7834" w:rsidP="00BE7834">
      <w:pPr>
        <w:pStyle w:val="Testonotaapidipagina"/>
        <w:rPr>
          <w:sz w:val="18"/>
          <w:szCs w:val="18"/>
        </w:rPr>
      </w:pPr>
      <w:r w:rsidRPr="00087344">
        <w:rPr>
          <w:sz w:val="18"/>
          <w:szCs w:val="18"/>
        </w:rPr>
        <w:footnoteRef/>
      </w:r>
      <w:r w:rsidRPr="00087344">
        <w:rPr>
          <w:sz w:val="18"/>
          <w:szCs w:val="18"/>
        </w:rPr>
        <w:t xml:space="preserve"> </w:t>
      </w:r>
      <w:r w:rsidR="00452397">
        <w:rPr>
          <w:sz w:val="18"/>
          <w:szCs w:val="18"/>
        </w:rPr>
        <w:t xml:space="preserve">Fonte: </w:t>
      </w:r>
      <w:r w:rsidRPr="00087344">
        <w:rPr>
          <w:sz w:val="18"/>
          <w:szCs w:val="18"/>
        </w:rPr>
        <w:t xml:space="preserve">Commissione Europea, </w:t>
      </w:r>
      <w:proofErr w:type="spellStart"/>
      <w:r w:rsidRPr="00087344">
        <w:rPr>
          <w:i/>
          <w:sz w:val="18"/>
          <w:szCs w:val="18"/>
        </w:rPr>
        <w:t>European</w:t>
      </w:r>
      <w:proofErr w:type="spellEnd"/>
      <w:r w:rsidRPr="00087344">
        <w:rPr>
          <w:i/>
          <w:sz w:val="18"/>
          <w:szCs w:val="18"/>
        </w:rPr>
        <w:t xml:space="preserve"> </w:t>
      </w:r>
      <w:proofErr w:type="spellStart"/>
      <w:r w:rsidRPr="00087344">
        <w:rPr>
          <w:i/>
          <w:sz w:val="18"/>
          <w:szCs w:val="18"/>
        </w:rPr>
        <w:t>Economic</w:t>
      </w:r>
      <w:proofErr w:type="spellEnd"/>
      <w:r w:rsidRPr="00087344">
        <w:rPr>
          <w:i/>
          <w:sz w:val="18"/>
          <w:szCs w:val="18"/>
        </w:rPr>
        <w:t xml:space="preserve"> Forecast</w:t>
      </w:r>
      <w:r w:rsidRPr="00087344">
        <w:rPr>
          <w:sz w:val="18"/>
          <w:szCs w:val="18"/>
        </w:rPr>
        <w:t xml:space="preserve">, </w:t>
      </w:r>
      <w:r w:rsidR="00261F61" w:rsidRPr="00087344">
        <w:rPr>
          <w:sz w:val="18"/>
          <w:szCs w:val="18"/>
        </w:rPr>
        <w:t>F</w:t>
      </w:r>
      <w:r w:rsidRPr="00087344">
        <w:rPr>
          <w:sz w:val="18"/>
          <w:szCs w:val="18"/>
        </w:rPr>
        <w:t>ebbraio 2023</w:t>
      </w:r>
    </w:p>
  </w:footnote>
  <w:footnote w:id="11">
    <w:p w14:paraId="21C50A0A" w14:textId="50AFDD48" w:rsidR="00C64AE9" w:rsidRPr="00087344" w:rsidRDefault="00C64AE9">
      <w:pPr>
        <w:pStyle w:val="Testonotaapidipagina"/>
        <w:rPr>
          <w:sz w:val="18"/>
          <w:szCs w:val="18"/>
        </w:rPr>
      </w:pPr>
      <w:r w:rsidRPr="00087344">
        <w:rPr>
          <w:rStyle w:val="Rimandonotaapidipagina"/>
          <w:sz w:val="18"/>
          <w:szCs w:val="18"/>
          <w:vertAlign w:val="baseline"/>
        </w:rPr>
        <w:footnoteRef/>
      </w:r>
      <w:r w:rsidRPr="00087344">
        <w:rPr>
          <w:sz w:val="18"/>
          <w:szCs w:val="18"/>
        </w:rPr>
        <w:t xml:space="preserve"> </w:t>
      </w:r>
      <w:r w:rsidRPr="00C92AFC">
        <w:rPr>
          <w:iCs/>
          <w:sz w:val="18"/>
          <w:szCs w:val="18"/>
        </w:rPr>
        <w:t>L'inflazione di fondo esclude i prezzi di energia, cibo, alcol e tabacco, che tendono ad essere più volatili di altri ma considera tutti gli altri beni e servizi</w:t>
      </w:r>
      <w:r w:rsidR="00C92AFC">
        <w:rPr>
          <w:rFonts w:ascii="Arial" w:hAnsi="Arial" w:cs="Arial"/>
          <w:color w:val="1A1B1B"/>
          <w:sz w:val="18"/>
          <w:szCs w:val="18"/>
          <w:shd w:val="clear" w:color="auto" w:fill="FFFFFF"/>
        </w:rPr>
        <w:t>.</w:t>
      </w:r>
    </w:p>
  </w:footnote>
  <w:footnote w:id="12">
    <w:p w14:paraId="750DECBB" w14:textId="335A262F" w:rsidR="00BE7834" w:rsidRDefault="00BE7834" w:rsidP="00BE7834">
      <w:pPr>
        <w:pStyle w:val="Testonotaapidipagina"/>
        <w:rPr>
          <w:sz w:val="18"/>
          <w:szCs w:val="18"/>
        </w:rPr>
      </w:pPr>
      <w:r w:rsidRPr="00087344">
        <w:rPr>
          <w:sz w:val="18"/>
          <w:szCs w:val="18"/>
        </w:rPr>
        <w:footnoteRef/>
      </w:r>
      <w:r w:rsidRPr="00087344">
        <w:rPr>
          <w:sz w:val="18"/>
          <w:szCs w:val="18"/>
        </w:rPr>
        <w:t xml:space="preserve"> </w:t>
      </w:r>
      <w:r w:rsidR="00452397">
        <w:rPr>
          <w:sz w:val="18"/>
          <w:szCs w:val="18"/>
        </w:rPr>
        <w:t xml:space="preserve">Fonte: </w:t>
      </w:r>
      <w:r w:rsidRPr="00087344">
        <w:rPr>
          <w:sz w:val="18"/>
          <w:szCs w:val="18"/>
        </w:rPr>
        <w:t xml:space="preserve">Istat, </w:t>
      </w:r>
      <w:r w:rsidRPr="00087344">
        <w:rPr>
          <w:i/>
          <w:sz w:val="18"/>
          <w:szCs w:val="18"/>
        </w:rPr>
        <w:t>Pil e Indebitamento AP 2020-2022</w:t>
      </w:r>
      <w:r w:rsidRPr="00087344">
        <w:rPr>
          <w:sz w:val="18"/>
          <w:szCs w:val="18"/>
        </w:rPr>
        <w:t xml:space="preserve">, </w:t>
      </w:r>
      <w:proofErr w:type="gramStart"/>
      <w:r w:rsidR="00261F61" w:rsidRPr="00087344">
        <w:rPr>
          <w:sz w:val="18"/>
          <w:szCs w:val="18"/>
        </w:rPr>
        <w:t>1 M</w:t>
      </w:r>
      <w:r w:rsidRPr="00087344">
        <w:rPr>
          <w:sz w:val="18"/>
          <w:szCs w:val="18"/>
        </w:rPr>
        <w:t>arzo</w:t>
      </w:r>
      <w:proofErr w:type="gramEnd"/>
      <w:r w:rsidRPr="00087344">
        <w:rPr>
          <w:sz w:val="18"/>
          <w:szCs w:val="18"/>
        </w:rPr>
        <w:t xml:space="preserve"> 2023</w:t>
      </w:r>
    </w:p>
  </w:footnote>
  <w:footnote w:id="13">
    <w:p w14:paraId="44913A43" w14:textId="6264B480" w:rsidR="00F5056A" w:rsidRDefault="00F5056A" w:rsidP="00F5056A">
      <w:pPr>
        <w:pStyle w:val="Testonotaapidipagina"/>
        <w:rPr>
          <w:i/>
          <w:iCs/>
          <w:sz w:val="18"/>
          <w:szCs w:val="18"/>
        </w:rPr>
      </w:pPr>
      <w:r>
        <w:rPr>
          <w:rStyle w:val="Rimandonotaapidipagina"/>
        </w:rPr>
        <w:footnoteRef/>
      </w:r>
      <w:r>
        <w:t xml:space="preserve"> </w:t>
      </w:r>
      <w:r w:rsidR="00452397">
        <w:t xml:space="preserve">Fonte: </w:t>
      </w:r>
      <w:r>
        <w:rPr>
          <w:sz w:val="18"/>
          <w:szCs w:val="18"/>
        </w:rPr>
        <w:t>Istat</w:t>
      </w:r>
      <w:r>
        <w:rPr>
          <w:i/>
          <w:iCs/>
          <w:sz w:val="18"/>
          <w:szCs w:val="18"/>
        </w:rPr>
        <w:t xml:space="preserve">, Stima preliminare del Pil, </w:t>
      </w:r>
      <w:r w:rsidR="00E17C8D">
        <w:rPr>
          <w:sz w:val="18"/>
          <w:szCs w:val="18"/>
        </w:rPr>
        <w:t>G</w:t>
      </w:r>
      <w:r>
        <w:rPr>
          <w:sz w:val="18"/>
          <w:szCs w:val="18"/>
        </w:rPr>
        <w:t>ennaio 2023</w:t>
      </w:r>
    </w:p>
  </w:footnote>
  <w:footnote w:id="14">
    <w:p w14:paraId="27EBCC22" w14:textId="3B3C21A2" w:rsidR="00BE7834" w:rsidRDefault="00BE7834" w:rsidP="00BE7834">
      <w:pPr>
        <w:pStyle w:val="Testonotaapidipagina"/>
        <w:rPr>
          <w:sz w:val="18"/>
          <w:szCs w:val="18"/>
        </w:rPr>
      </w:pPr>
      <w:r>
        <w:rPr>
          <w:rStyle w:val="Rimandonotaapidipagina"/>
          <w:sz w:val="18"/>
          <w:szCs w:val="18"/>
        </w:rPr>
        <w:footnoteRef/>
      </w:r>
      <w:r>
        <w:rPr>
          <w:sz w:val="18"/>
          <w:szCs w:val="18"/>
        </w:rPr>
        <w:t xml:space="preserve"> </w:t>
      </w:r>
      <w:r>
        <w:rPr>
          <w:i/>
          <w:iCs/>
          <w:sz w:val="18"/>
          <w:szCs w:val="18"/>
        </w:rPr>
        <w:t>Ibid</w:t>
      </w:r>
      <w:r>
        <w:rPr>
          <w:sz w:val="18"/>
          <w:szCs w:val="18"/>
        </w:rPr>
        <w:t>. Nota 1</w:t>
      </w:r>
      <w:r w:rsidR="001A502A">
        <w:rPr>
          <w:sz w:val="18"/>
          <w:szCs w:val="18"/>
        </w:rPr>
        <w:t>0</w:t>
      </w:r>
    </w:p>
  </w:footnote>
  <w:footnote w:id="15">
    <w:p w14:paraId="39F6F9FC" w14:textId="44C55A52" w:rsidR="00BE7834" w:rsidRDefault="00BE7834" w:rsidP="00BE7834">
      <w:pPr>
        <w:pStyle w:val="Testonotaapidipagina"/>
      </w:pPr>
      <w:r>
        <w:rPr>
          <w:rStyle w:val="Rimandonotaapidipagina"/>
        </w:rPr>
        <w:footnoteRef/>
      </w:r>
      <w:r>
        <w:t xml:space="preserve"> </w:t>
      </w:r>
      <w:r w:rsidR="00452397">
        <w:t xml:space="preserve">Fonte </w:t>
      </w:r>
      <w:r>
        <w:rPr>
          <w:sz w:val="18"/>
          <w:szCs w:val="18"/>
        </w:rPr>
        <w:t xml:space="preserve">Banca d’Italia, </w:t>
      </w:r>
      <w:r>
        <w:rPr>
          <w:i/>
          <w:iCs/>
          <w:sz w:val="18"/>
          <w:szCs w:val="18"/>
        </w:rPr>
        <w:t>Bollettino Economico 1/2023</w:t>
      </w:r>
    </w:p>
  </w:footnote>
  <w:footnote w:id="16">
    <w:p w14:paraId="1625A878" w14:textId="04E469ED" w:rsidR="00095E5C" w:rsidRDefault="00095E5C">
      <w:pPr>
        <w:pStyle w:val="Testonotaapidipagina"/>
      </w:pPr>
      <w:r>
        <w:rPr>
          <w:rStyle w:val="Rimandonotaapidipagina"/>
        </w:rPr>
        <w:footnoteRef/>
      </w:r>
      <w:r>
        <w:t xml:space="preserve"> Cfr. Le sfide dell’economia italiana nell’attuale contesto </w:t>
      </w:r>
      <w:proofErr w:type="gramStart"/>
      <w:r>
        <w:t>europeo  -</w:t>
      </w:r>
      <w:proofErr w:type="gramEnd"/>
      <w:r>
        <w:t xml:space="preserve"> Ignazio Visco Gennaio 2023 </w:t>
      </w:r>
    </w:p>
  </w:footnote>
  <w:footnote w:id="17">
    <w:p w14:paraId="52E112C2" w14:textId="77777777" w:rsidR="00BE7834" w:rsidRDefault="00BE7834" w:rsidP="00BE7834">
      <w:pPr>
        <w:pStyle w:val="Testonotaapidipagina"/>
        <w:rPr>
          <w:sz w:val="18"/>
          <w:szCs w:val="18"/>
        </w:rPr>
      </w:pPr>
      <w:r>
        <w:rPr>
          <w:rStyle w:val="Rimandonotaapidipagina"/>
          <w:sz w:val="18"/>
          <w:szCs w:val="18"/>
        </w:rPr>
        <w:footnoteRef/>
      </w:r>
      <w:r>
        <w:rPr>
          <w:sz w:val="18"/>
          <w:szCs w:val="18"/>
        </w:rPr>
        <w:t xml:space="preserve"> Tale scenario non tiene conto delle misure che potrebbero essere introdotte per mitigare gli effetti di sviluppi più sfavorevoli, e non considera un possibile adeguamento dei salari ai prezzi al consumo più contenuto rispetto a quanto desumibile dalle regolarità osservate nel passato. </w:t>
      </w:r>
    </w:p>
  </w:footnote>
  <w:footnote w:id="18">
    <w:p w14:paraId="790DDBA3" w14:textId="2C69DCD7" w:rsidR="00AE3244" w:rsidRPr="00AE3244" w:rsidRDefault="00AE3244" w:rsidP="00452397">
      <w:pPr>
        <w:pStyle w:val="Testonotaapidipagina"/>
        <w:rPr>
          <w:sz w:val="18"/>
          <w:szCs w:val="18"/>
        </w:rPr>
      </w:pPr>
      <w:r w:rsidRPr="00452397">
        <w:rPr>
          <w:sz w:val="14"/>
          <w:szCs w:val="14"/>
        </w:rPr>
        <w:footnoteRef/>
      </w:r>
      <w:r w:rsidRPr="00AE3244">
        <w:rPr>
          <w:sz w:val="18"/>
          <w:szCs w:val="18"/>
        </w:rPr>
        <w:t xml:space="preserve"> </w:t>
      </w:r>
      <w:r w:rsidR="00452397">
        <w:rPr>
          <w:sz w:val="18"/>
          <w:szCs w:val="18"/>
        </w:rPr>
        <w:t xml:space="preserve">Fonte: </w:t>
      </w:r>
      <w:r>
        <w:rPr>
          <w:sz w:val="18"/>
          <w:szCs w:val="18"/>
        </w:rPr>
        <w:t xml:space="preserve">Istat </w:t>
      </w:r>
      <w:r w:rsidRPr="00AE3244">
        <w:rPr>
          <w:sz w:val="18"/>
          <w:szCs w:val="18"/>
        </w:rPr>
        <w:t xml:space="preserve">Produzione Industriale </w:t>
      </w:r>
      <w:r w:rsidR="00E17C8D">
        <w:rPr>
          <w:sz w:val="18"/>
          <w:szCs w:val="18"/>
        </w:rPr>
        <w:t xml:space="preserve">01/2023 </w:t>
      </w:r>
      <w:r w:rsidRPr="00AE3244">
        <w:rPr>
          <w:sz w:val="18"/>
          <w:szCs w:val="18"/>
        </w:rPr>
        <w:t xml:space="preserve">- </w:t>
      </w:r>
      <w:r w:rsidR="00E17C8D">
        <w:rPr>
          <w:sz w:val="18"/>
          <w:szCs w:val="18"/>
        </w:rPr>
        <w:t>Marzo</w:t>
      </w:r>
      <w:r w:rsidRPr="00AE3244">
        <w:rPr>
          <w:sz w:val="18"/>
          <w:szCs w:val="18"/>
        </w:rPr>
        <w:t xml:space="preserve"> 2023</w:t>
      </w:r>
      <w:r>
        <w:rPr>
          <w:sz w:val="18"/>
          <w:szCs w:val="18"/>
        </w:rPr>
        <w:t xml:space="preserve"> </w:t>
      </w:r>
    </w:p>
    <w:p w14:paraId="75BDDAF8" w14:textId="23AFEE1C" w:rsidR="00AE3244" w:rsidRDefault="00AE3244">
      <w:pPr>
        <w:pStyle w:val="Testonotaapidipagina"/>
      </w:pPr>
    </w:p>
  </w:footnote>
  <w:footnote w:id="19">
    <w:p w14:paraId="6935C94D" w14:textId="4CF353E8" w:rsidR="00AB4E65" w:rsidRDefault="00AB4E65">
      <w:pPr>
        <w:pStyle w:val="Testonotaapidipagina"/>
      </w:pPr>
      <w:r>
        <w:rPr>
          <w:rStyle w:val="Rimandonotaapidipagina"/>
        </w:rPr>
        <w:footnoteRef/>
      </w:r>
      <w:r>
        <w:t xml:space="preserve"> </w:t>
      </w:r>
      <w:r w:rsidR="00452397">
        <w:t xml:space="preserve">Fonte: </w:t>
      </w:r>
      <w:r>
        <w:t>IV trimestre 2022 Il Mercato del Lavoro - Istat – Marzo 2023</w:t>
      </w:r>
    </w:p>
  </w:footnote>
  <w:footnote w:id="20">
    <w:p w14:paraId="0261C219" w14:textId="6AD43B89" w:rsidR="00E376FC" w:rsidRDefault="00E376FC" w:rsidP="00E376FC">
      <w:pPr>
        <w:pStyle w:val="Testonotaapidipagina"/>
        <w:rPr>
          <w:i/>
          <w:iCs/>
          <w:sz w:val="18"/>
          <w:szCs w:val="18"/>
        </w:rPr>
      </w:pPr>
      <w:r w:rsidRPr="00106292">
        <w:rPr>
          <w:rStyle w:val="Rimandonotaapidipagina"/>
          <w:sz w:val="18"/>
          <w:szCs w:val="18"/>
        </w:rPr>
        <w:footnoteRef/>
      </w:r>
      <w:r w:rsidRPr="00106292">
        <w:rPr>
          <w:sz w:val="18"/>
          <w:szCs w:val="18"/>
        </w:rPr>
        <w:t xml:space="preserve"> </w:t>
      </w:r>
      <w:r w:rsidR="00452397">
        <w:rPr>
          <w:sz w:val="18"/>
          <w:szCs w:val="18"/>
        </w:rPr>
        <w:t xml:space="preserve">Fonte: </w:t>
      </w:r>
      <w:r w:rsidRPr="00106292">
        <w:rPr>
          <w:sz w:val="18"/>
          <w:szCs w:val="18"/>
        </w:rPr>
        <w:t xml:space="preserve">Banca </w:t>
      </w:r>
      <w:r w:rsidR="00106292" w:rsidRPr="00106292">
        <w:rPr>
          <w:sz w:val="18"/>
          <w:szCs w:val="18"/>
        </w:rPr>
        <w:t xml:space="preserve">d’Italia, </w:t>
      </w:r>
      <w:r w:rsidRPr="00106292">
        <w:rPr>
          <w:i/>
          <w:iCs/>
          <w:sz w:val="18"/>
          <w:szCs w:val="18"/>
        </w:rPr>
        <w:t>Il mercato del lavoro: dati e analisi Gennaio 2023</w:t>
      </w:r>
    </w:p>
    <w:p w14:paraId="33E2C49B" w14:textId="77777777" w:rsidR="00E169E0" w:rsidRPr="00106292" w:rsidRDefault="00E169E0" w:rsidP="00E376FC">
      <w:pPr>
        <w:pStyle w:val="Testonotaapidipagina"/>
        <w:rPr>
          <w:sz w:val="18"/>
          <w:szCs w:val="18"/>
        </w:rPr>
      </w:pPr>
    </w:p>
  </w:footnote>
  <w:footnote w:id="21">
    <w:p w14:paraId="6C775790" w14:textId="28A8FD4A" w:rsidR="00EA4E85" w:rsidRPr="00FF661D" w:rsidRDefault="00EA4E85" w:rsidP="00EA4E85">
      <w:pPr>
        <w:pStyle w:val="Testonotaapidipagina"/>
        <w:rPr>
          <w:sz w:val="18"/>
          <w:szCs w:val="18"/>
        </w:rPr>
      </w:pPr>
      <w:r w:rsidRPr="00FF661D">
        <w:rPr>
          <w:rStyle w:val="Rimandonotaapidipagina"/>
          <w:sz w:val="18"/>
          <w:szCs w:val="18"/>
        </w:rPr>
        <w:footnoteRef/>
      </w:r>
      <w:r w:rsidRPr="00FF661D">
        <w:rPr>
          <w:sz w:val="18"/>
          <w:szCs w:val="18"/>
        </w:rPr>
        <w:t xml:space="preserve"> </w:t>
      </w:r>
      <w:r w:rsidR="00452397">
        <w:rPr>
          <w:sz w:val="18"/>
          <w:szCs w:val="18"/>
        </w:rPr>
        <w:t xml:space="preserve">Fonte: </w:t>
      </w:r>
      <w:r w:rsidRPr="00FF661D">
        <w:rPr>
          <w:sz w:val="18"/>
          <w:szCs w:val="18"/>
        </w:rPr>
        <w:t xml:space="preserve">Istat, </w:t>
      </w:r>
      <w:r w:rsidRPr="00273256">
        <w:rPr>
          <w:i/>
          <w:iCs/>
          <w:sz w:val="18"/>
          <w:szCs w:val="18"/>
        </w:rPr>
        <w:t>Le Prospettive per l’Economia Italiana nel 2022-2023</w:t>
      </w:r>
      <w:r w:rsidRPr="00FF661D">
        <w:rPr>
          <w:sz w:val="18"/>
          <w:szCs w:val="18"/>
        </w:rPr>
        <w:t xml:space="preserve"> – Dicembre 2022</w:t>
      </w:r>
    </w:p>
  </w:footnote>
  <w:footnote w:id="22">
    <w:p w14:paraId="39672A1F" w14:textId="77777777" w:rsidR="00EA4E85" w:rsidRDefault="00EA4E85" w:rsidP="00EA4E85">
      <w:pPr>
        <w:pStyle w:val="Testonotaapidipagina"/>
        <w:rPr>
          <w:sz w:val="18"/>
          <w:szCs w:val="18"/>
        </w:rPr>
      </w:pPr>
      <w:r w:rsidRPr="00FF661D">
        <w:rPr>
          <w:rStyle w:val="Rimandonotaapidipagina"/>
          <w:sz w:val="18"/>
          <w:szCs w:val="18"/>
        </w:rPr>
        <w:footnoteRef/>
      </w:r>
      <w:r w:rsidRPr="00FF661D">
        <w:rPr>
          <w:sz w:val="18"/>
          <w:szCs w:val="18"/>
        </w:rPr>
        <w:t xml:space="preserve"> Questa grandezza si rende necessaria per dare </w:t>
      </w:r>
      <w:r>
        <w:rPr>
          <w:sz w:val="18"/>
          <w:szCs w:val="18"/>
        </w:rPr>
        <w:t>un’</w:t>
      </w:r>
      <w:r w:rsidRPr="00FF661D">
        <w:rPr>
          <w:sz w:val="18"/>
          <w:szCs w:val="18"/>
        </w:rPr>
        <w:t>unità di misura omogenea del volume di lavoro svolto da tutti gli occupati. Non vi è, infatti, necessariamente una piena corrispondenza tra gli occupati, le posizioni lavorative e le unità di lavoro. Una persona occupata può infatti ricoprire una o più posizioni ed il lavoro svolto può essere a tempo permanente o a termine, a tempo pieno o parziale, e può essere regolare o irregolare sul piano contributivo e fiscale.</w:t>
      </w:r>
    </w:p>
    <w:p w14:paraId="32819289" w14:textId="77777777" w:rsidR="00E169E0" w:rsidRDefault="00E169E0" w:rsidP="00EA4E85">
      <w:pPr>
        <w:pStyle w:val="Testonotaapidipagina"/>
      </w:pPr>
    </w:p>
  </w:footnote>
  <w:footnote w:id="23">
    <w:p w14:paraId="45C7B603" w14:textId="486B0F5D" w:rsidR="00EA4E85" w:rsidRPr="00B4737B" w:rsidRDefault="00EA4E85" w:rsidP="00EA4E85">
      <w:pPr>
        <w:pStyle w:val="Testonotaapidipagina"/>
        <w:rPr>
          <w:sz w:val="18"/>
          <w:szCs w:val="18"/>
        </w:rPr>
      </w:pPr>
      <w:r w:rsidRPr="00702036">
        <w:rPr>
          <w:rStyle w:val="Rimandonotaapidipagina"/>
          <w:sz w:val="18"/>
          <w:szCs w:val="18"/>
        </w:rPr>
        <w:footnoteRef/>
      </w:r>
      <w:r w:rsidRPr="00702036">
        <w:rPr>
          <w:sz w:val="18"/>
          <w:szCs w:val="18"/>
          <w:lang w:val="en-GB"/>
        </w:rPr>
        <w:t xml:space="preserve"> </w:t>
      </w:r>
      <w:r w:rsidR="00452397">
        <w:rPr>
          <w:sz w:val="18"/>
          <w:szCs w:val="18"/>
          <w:lang w:val="en-GB"/>
        </w:rPr>
        <w:t xml:space="preserve">Fonte: </w:t>
      </w:r>
      <w:r w:rsidRPr="00702036">
        <w:rPr>
          <w:sz w:val="18"/>
          <w:szCs w:val="18"/>
          <w:lang w:val="en-GB"/>
        </w:rPr>
        <w:t xml:space="preserve">European Commission Directorate General Economic and Financial Affairs Euro Area Labour Markets – </w:t>
      </w:r>
      <w:r w:rsidRPr="00702036">
        <w:rPr>
          <w:i/>
          <w:iCs/>
          <w:sz w:val="18"/>
          <w:szCs w:val="18"/>
          <w:lang w:val="en-GB"/>
        </w:rPr>
        <w:t>Recent Developments and Challenges Ahead</w:t>
      </w:r>
      <w:r>
        <w:rPr>
          <w:sz w:val="18"/>
          <w:szCs w:val="18"/>
          <w:lang w:val="en-GB"/>
        </w:rPr>
        <w:t>,</w:t>
      </w:r>
      <w:r w:rsidRPr="00702036">
        <w:rPr>
          <w:sz w:val="18"/>
          <w:szCs w:val="18"/>
          <w:lang w:val="en-GB"/>
        </w:rPr>
        <w:t xml:space="preserve"> Technical note to the Eurogroup. </w:t>
      </w:r>
      <w:proofErr w:type="spellStart"/>
      <w:r w:rsidRPr="00B4737B">
        <w:rPr>
          <w:sz w:val="18"/>
          <w:szCs w:val="18"/>
        </w:rPr>
        <w:t>Brussels</w:t>
      </w:r>
      <w:proofErr w:type="spellEnd"/>
      <w:r w:rsidRPr="00B4737B">
        <w:rPr>
          <w:sz w:val="18"/>
          <w:szCs w:val="18"/>
        </w:rPr>
        <w:t>, 06/02/2023</w:t>
      </w:r>
    </w:p>
  </w:footnote>
  <w:footnote w:id="24">
    <w:p w14:paraId="01CA0DC9" w14:textId="6DD0F188" w:rsidR="000A211A" w:rsidRPr="000A188E" w:rsidRDefault="000A211A" w:rsidP="000A211A">
      <w:pPr>
        <w:pStyle w:val="Testonotaapidipagina"/>
        <w:rPr>
          <w:sz w:val="18"/>
          <w:szCs w:val="18"/>
        </w:rPr>
      </w:pPr>
      <w:r w:rsidRPr="000A188E">
        <w:rPr>
          <w:rStyle w:val="Rimandonotaapidipagina"/>
          <w:sz w:val="18"/>
          <w:szCs w:val="18"/>
        </w:rPr>
        <w:footnoteRef/>
      </w:r>
      <w:r w:rsidRPr="000A188E">
        <w:rPr>
          <w:sz w:val="18"/>
          <w:szCs w:val="18"/>
        </w:rPr>
        <w:t xml:space="preserve"> </w:t>
      </w:r>
      <w:r w:rsidR="00E64B32">
        <w:rPr>
          <w:sz w:val="18"/>
          <w:szCs w:val="18"/>
        </w:rPr>
        <w:t>Fonte:</w:t>
      </w:r>
      <w:r w:rsidR="00452397">
        <w:rPr>
          <w:sz w:val="18"/>
          <w:szCs w:val="18"/>
        </w:rPr>
        <w:t xml:space="preserve"> </w:t>
      </w:r>
      <w:r w:rsidRPr="000A188E">
        <w:rPr>
          <w:sz w:val="18"/>
          <w:szCs w:val="18"/>
        </w:rPr>
        <w:t>Osservatorio sulla Somministrazione</w:t>
      </w:r>
      <w:r>
        <w:rPr>
          <w:sz w:val="18"/>
          <w:szCs w:val="18"/>
        </w:rPr>
        <w:t>,</w:t>
      </w:r>
      <w:r w:rsidRPr="000A188E">
        <w:rPr>
          <w:sz w:val="18"/>
          <w:szCs w:val="18"/>
        </w:rPr>
        <w:t xml:space="preserve"> Dipartimento Economia Roma 3</w:t>
      </w:r>
    </w:p>
  </w:footnote>
  <w:footnote w:id="25">
    <w:p w14:paraId="3F7F88CC" w14:textId="40035BDD" w:rsidR="000A211A" w:rsidRPr="00E64B32" w:rsidRDefault="000A211A" w:rsidP="000A211A">
      <w:pPr>
        <w:pStyle w:val="Testonotaapidipagina"/>
        <w:rPr>
          <w:sz w:val="18"/>
          <w:szCs w:val="18"/>
        </w:rPr>
      </w:pPr>
      <w:r w:rsidRPr="00E64B32">
        <w:rPr>
          <w:rStyle w:val="Rimandonotaapidipagina"/>
          <w:sz w:val="18"/>
          <w:szCs w:val="18"/>
        </w:rPr>
        <w:footnoteRef/>
      </w:r>
      <w:r w:rsidRPr="00E64B32">
        <w:rPr>
          <w:sz w:val="18"/>
          <w:szCs w:val="18"/>
        </w:rPr>
        <w:t xml:space="preserve"> </w:t>
      </w:r>
      <w:r w:rsidR="00E64B32" w:rsidRPr="00E64B32">
        <w:rPr>
          <w:sz w:val="18"/>
          <w:szCs w:val="18"/>
        </w:rPr>
        <w:t>Fonte: Dati.Istat.it</w:t>
      </w:r>
    </w:p>
  </w:footnote>
  <w:footnote w:id="26">
    <w:p w14:paraId="1AAFDD78" w14:textId="6B27ACA6" w:rsidR="000A211A" w:rsidRPr="00234D76" w:rsidRDefault="000A211A" w:rsidP="000A211A">
      <w:pPr>
        <w:pStyle w:val="Testonotaapidipagina"/>
        <w:rPr>
          <w:sz w:val="18"/>
          <w:szCs w:val="18"/>
        </w:rPr>
      </w:pPr>
      <w:r w:rsidRPr="00E64B32">
        <w:rPr>
          <w:rStyle w:val="Rimandonotaapidipagina"/>
          <w:sz w:val="18"/>
          <w:szCs w:val="18"/>
        </w:rPr>
        <w:footnoteRef/>
      </w:r>
      <w:r w:rsidRPr="00E64B32">
        <w:rPr>
          <w:rStyle w:val="Rimandonotaapidipagina"/>
          <w:sz w:val="18"/>
          <w:szCs w:val="18"/>
        </w:rPr>
        <w:t xml:space="preserve"> </w:t>
      </w:r>
      <w:r w:rsidR="00452397" w:rsidRPr="00E64B32">
        <w:rPr>
          <w:sz w:val="18"/>
          <w:szCs w:val="18"/>
        </w:rPr>
        <w:t>Fonte</w:t>
      </w:r>
      <w:r w:rsidR="00452397">
        <w:t xml:space="preserve">: </w:t>
      </w:r>
      <w:r w:rsidRPr="00234D76">
        <w:rPr>
          <w:sz w:val="18"/>
          <w:szCs w:val="18"/>
        </w:rPr>
        <w:t xml:space="preserve">Osservatorio sulla Somministrazione Dipartimento Economia Roma 3 </w:t>
      </w:r>
      <w:proofErr w:type="spellStart"/>
      <w:r w:rsidRPr="00234D76">
        <w:rPr>
          <w:sz w:val="18"/>
          <w:szCs w:val="18"/>
        </w:rPr>
        <w:t>Labchain</w:t>
      </w:r>
      <w:proofErr w:type="spellEnd"/>
    </w:p>
  </w:footnote>
  <w:footnote w:id="27">
    <w:p w14:paraId="67D00987" w14:textId="77777777" w:rsidR="000A211A" w:rsidRPr="00D15F3B" w:rsidRDefault="000A211A" w:rsidP="000A211A">
      <w:pPr>
        <w:pStyle w:val="Testonotaapidipagina"/>
        <w:rPr>
          <w:sz w:val="18"/>
          <w:szCs w:val="18"/>
        </w:rPr>
      </w:pPr>
      <w:r w:rsidRPr="00D15F3B">
        <w:rPr>
          <w:rStyle w:val="Rimandonotaapidipagina"/>
          <w:sz w:val="18"/>
          <w:szCs w:val="18"/>
        </w:rPr>
        <w:footnoteRef/>
      </w:r>
      <w:r w:rsidRPr="00D15F3B">
        <w:rPr>
          <w:sz w:val="18"/>
          <w:szCs w:val="18"/>
        </w:rPr>
        <w:t xml:space="preserve"> Per tale comparto, uno dei più colpiti dagli effetti della crisi pandemica, nel secondo trimestre 2022 i dati sono tornati ad essere in linea – anche superandoli – con quelli </w:t>
      </w:r>
      <w:proofErr w:type="spellStart"/>
      <w:r w:rsidRPr="00D15F3B">
        <w:rPr>
          <w:sz w:val="18"/>
          <w:szCs w:val="18"/>
        </w:rPr>
        <w:t>pre</w:t>
      </w:r>
      <w:proofErr w:type="spellEnd"/>
      <w:r w:rsidRPr="00D15F3B">
        <w:rPr>
          <w:sz w:val="18"/>
          <w:szCs w:val="18"/>
        </w:rPr>
        <w:t>-pandemici (del 2019)</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47D3" w14:textId="3144A967" w:rsidR="0004037E" w:rsidRPr="00EA74CF" w:rsidRDefault="0004037E" w:rsidP="00EA74CF">
    <w:pPr>
      <w:pStyle w:val="Intestazione"/>
      <w:jc w:val="center"/>
    </w:pPr>
    <w:r>
      <w:rPr>
        <w:noProof/>
      </w:rPr>
      <w:drawing>
        <wp:inline distT="0" distB="0" distL="0" distR="0" wp14:anchorId="446839A2" wp14:editId="383CFE9B">
          <wp:extent cx="2412787" cy="660721"/>
          <wp:effectExtent l="0" t="0" r="6985"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530" cy="6707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6743" w14:textId="77777777" w:rsidR="00EA4E85" w:rsidRPr="00EA74CF" w:rsidRDefault="00EA4E85" w:rsidP="00EA74CF">
    <w:pPr>
      <w:pStyle w:val="Intestazione"/>
      <w:jc w:val="center"/>
    </w:pPr>
    <w:r>
      <w:rPr>
        <w:noProof/>
      </w:rPr>
      <w:drawing>
        <wp:inline distT="0" distB="0" distL="0" distR="0" wp14:anchorId="3A3FF319" wp14:editId="425DE850">
          <wp:extent cx="2412787" cy="660721"/>
          <wp:effectExtent l="0" t="0" r="6985" b="6350"/>
          <wp:docPr id="454500454" name="Immagine 454500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530" cy="6707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60D8"/>
    <w:multiLevelType w:val="hybridMultilevel"/>
    <w:tmpl w:val="5716439E"/>
    <w:lvl w:ilvl="0" w:tplc="FB0474D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B3B48"/>
    <w:multiLevelType w:val="hybridMultilevel"/>
    <w:tmpl w:val="3E580654"/>
    <w:lvl w:ilvl="0" w:tplc="5C743D12">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CD250B"/>
    <w:multiLevelType w:val="hybridMultilevel"/>
    <w:tmpl w:val="F56E1DB4"/>
    <w:lvl w:ilvl="0" w:tplc="7506E976">
      <w:start w:val="1"/>
      <w:numFmt w:val="bullet"/>
      <w:lvlText w:val="-"/>
      <w:lvlJc w:val="left"/>
      <w:pPr>
        <w:ind w:left="720" w:hanging="360"/>
      </w:pPr>
      <w:rPr>
        <w:rFonts w:ascii="Palatino Linotype" w:eastAsiaTheme="minorHAnsi" w:hAnsi="Palatino Linotyp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885605"/>
    <w:multiLevelType w:val="multilevel"/>
    <w:tmpl w:val="8BA6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B497F"/>
    <w:multiLevelType w:val="hybridMultilevel"/>
    <w:tmpl w:val="7AD833AC"/>
    <w:lvl w:ilvl="0" w:tplc="D9F891D0">
      <w:start w:val="1"/>
      <w:numFmt w:val="decimal"/>
      <w:lvlText w:val="%1."/>
      <w:lvlJc w:val="left"/>
      <w:pPr>
        <w:ind w:left="1070" w:hanging="360"/>
      </w:pPr>
      <w:rPr>
        <w:rFonts w:hint="default"/>
        <w:b w:val="0"/>
        <w:color w:val="FF000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9126002"/>
    <w:multiLevelType w:val="hybridMultilevel"/>
    <w:tmpl w:val="4AC6F474"/>
    <w:lvl w:ilvl="0" w:tplc="FC62DAAA">
      <w:start w:val="6"/>
      <w:numFmt w:val="decimal"/>
      <w:lvlText w:val="%1."/>
      <w:lvlJc w:val="left"/>
      <w:pPr>
        <w:ind w:left="1070" w:hanging="360"/>
      </w:pPr>
      <w:rPr>
        <w:rFonts w:hint="default"/>
        <w:b w:val="0"/>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6" w15:restartNumberingAfterBreak="0">
    <w:nsid w:val="643100A0"/>
    <w:multiLevelType w:val="hybridMultilevel"/>
    <w:tmpl w:val="0BD406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19770B0"/>
    <w:multiLevelType w:val="hybridMultilevel"/>
    <w:tmpl w:val="E440EE2E"/>
    <w:lvl w:ilvl="0" w:tplc="3DBA6CCA">
      <w:start w:val="16"/>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057074628">
    <w:abstractNumId w:val="6"/>
  </w:num>
  <w:num w:numId="2" w16cid:durableId="747508293">
    <w:abstractNumId w:val="4"/>
  </w:num>
  <w:num w:numId="3" w16cid:durableId="1035470274">
    <w:abstractNumId w:val="7"/>
  </w:num>
  <w:num w:numId="4" w16cid:durableId="70202188">
    <w:abstractNumId w:val="3"/>
  </w:num>
  <w:num w:numId="5" w16cid:durableId="1147405533">
    <w:abstractNumId w:val="5"/>
  </w:num>
  <w:num w:numId="6" w16cid:durableId="1788700783">
    <w:abstractNumId w:val="2"/>
  </w:num>
  <w:num w:numId="7" w16cid:durableId="1159230599">
    <w:abstractNumId w:val="0"/>
  </w:num>
  <w:num w:numId="8" w16cid:durableId="98351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B6"/>
    <w:rsid w:val="00002C11"/>
    <w:rsid w:val="000040CE"/>
    <w:rsid w:val="00004492"/>
    <w:rsid w:val="00005169"/>
    <w:rsid w:val="00005D89"/>
    <w:rsid w:val="000070B0"/>
    <w:rsid w:val="00007382"/>
    <w:rsid w:val="00011E42"/>
    <w:rsid w:val="0001270F"/>
    <w:rsid w:val="000129A2"/>
    <w:rsid w:val="00013FFD"/>
    <w:rsid w:val="00014F1E"/>
    <w:rsid w:val="0001501F"/>
    <w:rsid w:val="00015474"/>
    <w:rsid w:val="0001568E"/>
    <w:rsid w:val="0001577E"/>
    <w:rsid w:val="00017938"/>
    <w:rsid w:val="00022A01"/>
    <w:rsid w:val="00024104"/>
    <w:rsid w:val="00026B1F"/>
    <w:rsid w:val="00032F9F"/>
    <w:rsid w:val="00034A4C"/>
    <w:rsid w:val="0004037E"/>
    <w:rsid w:val="00040580"/>
    <w:rsid w:val="00043865"/>
    <w:rsid w:val="00045507"/>
    <w:rsid w:val="0004663D"/>
    <w:rsid w:val="00046902"/>
    <w:rsid w:val="00047A33"/>
    <w:rsid w:val="00052A99"/>
    <w:rsid w:val="000568C1"/>
    <w:rsid w:val="00057357"/>
    <w:rsid w:val="00057C48"/>
    <w:rsid w:val="000606BB"/>
    <w:rsid w:val="00061EC4"/>
    <w:rsid w:val="00064E9B"/>
    <w:rsid w:val="000671B5"/>
    <w:rsid w:val="000702EA"/>
    <w:rsid w:val="00071FAF"/>
    <w:rsid w:val="00081879"/>
    <w:rsid w:val="00082D91"/>
    <w:rsid w:val="00087344"/>
    <w:rsid w:val="000910A6"/>
    <w:rsid w:val="0009215F"/>
    <w:rsid w:val="000939A9"/>
    <w:rsid w:val="00095E5C"/>
    <w:rsid w:val="00095F66"/>
    <w:rsid w:val="00097DC3"/>
    <w:rsid w:val="000A1ACA"/>
    <w:rsid w:val="000A211A"/>
    <w:rsid w:val="000A32C5"/>
    <w:rsid w:val="000A34CE"/>
    <w:rsid w:val="000A4F79"/>
    <w:rsid w:val="000A5AEE"/>
    <w:rsid w:val="000A7D5C"/>
    <w:rsid w:val="000B05EC"/>
    <w:rsid w:val="000B4606"/>
    <w:rsid w:val="000B47C1"/>
    <w:rsid w:val="000B68FF"/>
    <w:rsid w:val="000C0F12"/>
    <w:rsid w:val="000C4C7C"/>
    <w:rsid w:val="000C5E17"/>
    <w:rsid w:val="000C6489"/>
    <w:rsid w:val="000D1D85"/>
    <w:rsid w:val="000D2AA4"/>
    <w:rsid w:val="000D3D44"/>
    <w:rsid w:val="000E6F6E"/>
    <w:rsid w:val="000F26C3"/>
    <w:rsid w:val="00100DBC"/>
    <w:rsid w:val="0010303C"/>
    <w:rsid w:val="00104E8E"/>
    <w:rsid w:val="00106292"/>
    <w:rsid w:val="00110143"/>
    <w:rsid w:val="00110781"/>
    <w:rsid w:val="00111769"/>
    <w:rsid w:val="001153D6"/>
    <w:rsid w:val="0012147D"/>
    <w:rsid w:val="00121C24"/>
    <w:rsid w:val="00123256"/>
    <w:rsid w:val="00123771"/>
    <w:rsid w:val="00125DB6"/>
    <w:rsid w:val="0013353B"/>
    <w:rsid w:val="001348BC"/>
    <w:rsid w:val="00135831"/>
    <w:rsid w:val="00136464"/>
    <w:rsid w:val="0014032C"/>
    <w:rsid w:val="00140894"/>
    <w:rsid w:val="001413A7"/>
    <w:rsid w:val="00142629"/>
    <w:rsid w:val="001426A8"/>
    <w:rsid w:val="00151B5F"/>
    <w:rsid w:val="00153D94"/>
    <w:rsid w:val="00157654"/>
    <w:rsid w:val="00161D8F"/>
    <w:rsid w:val="001657E8"/>
    <w:rsid w:val="00165A2B"/>
    <w:rsid w:val="00166A0C"/>
    <w:rsid w:val="00172415"/>
    <w:rsid w:val="00172B26"/>
    <w:rsid w:val="00173544"/>
    <w:rsid w:val="00174C9B"/>
    <w:rsid w:val="001756D0"/>
    <w:rsid w:val="00176C52"/>
    <w:rsid w:val="00182B61"/>
    <w:rsid w:val="00185E3F"/>
    <w:rsid w:val="00185F6D"/>
    <w:rsid w:val="001860E5"/>
    <w:rsid w:val="00186A8B"/>
    <w:rsid w:val="0019231B"/>
    <w:rsid w:val="0019604D"/>
    <w:rsid w:val="00197038"/>
    <w:rsid w:val="001A35CA"/>
    <w:rsid w:val="001A4936"/>
    <w:rsid w:val="001A502A"/>
    <w:rsid w:val="001A5C50"/>
    <w:rsid w:val="001A5F9A"/>
    <w:rsid w:val="001B0562"/>
    <w:rsid w:val="001B1D84"/>
    <w:rsid w:val="001B1E04"/>
    <w:rsid w:val="001C176C"/>
    <w:rsid w:val="001C2636"/>
    <w:rsid w:val="001C491B"/>
    <w:rsid w:val="001C5C02"/>
    <w:rsid w:val="001C5DA1"/>
    <w:rsid w:val="001D02E9"/>
    <w:rsid w:val="001D1C32"/>
    <w:rsid w:val="001D2811"/>
    <w:rsid w:val="001D2FA7"/>
    <w:rsid w:val="001D3643"/>
    <w:rsid w:val="001D4841"/>
    <w:rsid w:val="001D79EE"/>
    <w:rsid w:val="001D7DD3"/>
    <w:rsid w:val="001E01AC"/>
    <w:rsid w:val="001E1303"/>
    <w:rsid w:val="001E3690"/>
    <w:rsid w:val="001E7BD5"/>
    <w:rsid w:val="001F2D24"/>
    <w:rsid w:val="001F3668"/>
    <w:rsid w:val="001F6AAC"/>
    <w:rsid w:val="002013AA"/>
    <w:rsid w:val="00202650"/>
    <w:rsid w:val="00204665"/>
    <w:rsid w:val="00206A62"/>
    <w:rsid w:val="00207AAA"/>
    <w:rsid w:val="0021052B"/>
    <w:rsid w:val="00216067"/>
    <w:rsid w:val="00220099"/>
    <w:rsid w:val="00220FC6"/>
    <w:rsid w:val="00221A8F"/>
    <w:rsid w:val="00222214"/>
    <w:rsid w:val="00222DDC"/>
    <w:rsid w:val="00224018"/>
    <w:rsid w:val="002260A4"/>
    <w:rsid w:val="002271A5"/>
    <w:rsid w:val="00227FC5"/>
    <w:rsid w:val="00230BCB"/>
    <w:rsid w:val="00230D71"/>
    <w:rsid w:val="00231645"/>
    <w:rsid w:val="00234B32"/>
    <w:rsid w:val="002353BE"/>
    <w:rsid w:val="002354EE"/>
    <w:rsid w:val="00242F8C"/>
    <w:rsid w:val="00244D2D"/>
    <w:rsid w:val="002464F9"/>
    <w:rsid w:val="00246F74"/>
    <w:rsid w:val="00247BD2"/>
    <w:rsid w:val="00247EDE"/>
    <w:rsid w:val="00252C90"/>
    <w:rsid w:val="00254B12"/>
    <w:rsid w:val="00255126"/>
    <w:rsid w:val="00256195"/>
    <w:rsid w:val="002567F9"/>
    <w:rsid w:val="002568D9"/>
    <w:rsid w:val="002574F5"/>
    <w:rsid w:val="00260CE7"/>
    <w:rsid w:val="00261F61"/>
    <w:rsid w:val="0026250B"/>
    <w:rsid w:val="00262C9C"/>
    <w:rsid w:val="00264CAC"/>
    <w:rsid w:val="0026688D"/>
    <w:rsid w:val="00270A05"/>
    <w:rsid w:val="00271B6B"/>
    <w:rsid w:val="002765EB"/>
    <w:rsid w:val="00277257"/>
    <w:rsid w:val="0028055D"/>
    <w:rsid w:val="0028066E"/>
    <w:rsid w:val="00280C9E"/>
    <w:rsid w:val="0028106E"/>
    <w:rsid w:val="00281F3F"/>
    <w:rsid w:val="00284216"/>
    <w:rsid w:val="00284F29"/>
    <w:rsid w:val="00285C24"/>
    <w:rsid w:val="00285F03"/>
    <w:rsid w:val="002916CA"/>
    <w:rsid w:val="00291911"/>
    <w:rsid w:val="00292BAB"/>
    <w:rsid w:val="002939CA"/>
    <w:rsid w:val="002942E8"/>
    <w:rsid w:val="0029669B"/>
    <w:rsid w:val="00296892"/>
    <w:rsid w:val="002972C1"/>
    <w:rsid w:val="00297FD7"/>
    <w:rsid w:val="002A018F"/>
    <w:rsid w:val="002A209A"/>
    <w:rsid w:val="002A4866"/>
    <w:rsid w:val="002A55CB"/>
    <w:rsid w:val="002A564D"/>
    <w:rsid w:val="002A7F44"/>
    <w:rsid w:val="002B1C97"/>
    <w:rsid w:val="002B1F6A"/>
    <w:rsid w:val="002B2023"/>
    <w:rsid w:val="002B3644"/>
    <w:rsid w:val="002B38EC"/>
    <w:rsid w:val="002C22B6"/>
    <w:rsid w:val="002C29F9"/>
    <w:rsid w:val="002C2B89"/>
    <w:rsid w:val="002C38DE"/>
    <w:rsid w:val="002C3B96"/>
    <w:rsid w:val="002C3CF8"/>
    <w:rsid w:val="002C412B"/>
    <w:rsid w:val="002C697B"/>
    <w:rsid w:val="002D4608"/>
    <w:rsid w:val="002D73D7"/>
    <w:rsid w:val="002E2800"/>
    <w:rsid w:val="002E2998"/>
    <w:rsid w:val="002E4BEB"/>
    <w:rsid w:val="002F0614"/>
    <w:rsid w:val="002F0D84"/>
    <w:rsid w:val="002F634C"/>
    <w:rsid w:val="002F6F1E"/>
    <w:rsid w:val="00301108"/>
    <w:rsid w:val="00301650"/>
    <w:rsid w:val="003029B6"/>
    <w:rsid w:val="00302C54"/>
    <w:rsid w:val="00303887"/>
    <w:rsid w:val="0030426D"/>
    <w:rsid w:val="00305228"/>
    <w:rsid w:val="0030603A"/>
    <w:rsid w:val="00306649"/>
    <w:rsid w:val="0031550A"/>
    <w:rsid w:val="00316202"/>
    <w:rsid w:val="003166BF"/>
    <w:rsid w:val="00316E6A"/>
    <w:rsid w:val="00317FEE"/>
    <w:rsid w:val="00320498"/>
    <w:rsid w:val="003247CF"/>
    <w:rsid w:val="00324933"/>
    <w:rsid w:val="0032521F"/>
    <w:rsid w:val="00326CC9"/>
    <w:rsid w:val="00330817"/>
    <w:rsid w:val="00330A5E"/>
    <w:rsid w:val="00331A9A"/>
    <w:rsid w:val="00332710"/>
    <w:rsid w:val="00333881"/>
    <w:rsid w:val="00334415"/>
    <w:rsid w:val="00336AE6"/>
    <w:rsid w:val="00336D32"/>
    <w:rsid w:val="00343A69"/>
    <w:rsid w:val="00353250"/>
    <w:rsid w:val="00353491"/>
    <w:rsid w:val="0035534F"/>
    <w:rsid w:val="00361DD1"/>
    <w:rsid w:val="003623D0"/>
    <w:rsid w:val="003627FF"/>
    <w:rsid w:val="00365862"/>
    <w:rsid w:val="003674FA"/>
    <w:rsid w:val="003713F6"/>
    <w:rsid w:val="003716F8"/>
    <w:rsid w:val="00371E13"/>
    <w:rsid w:val="00372534"/>
    <w:rsid w:val="00381A39"/>
    <w:rsid w:val="00386EEC"/>
    <w:rsid w:val="0038798D"/>
    <w:rsid w:val="00387D1C"/>
    <w:rsid w:val="00390597"/>
    <w:rsid w:val="00391F7B"/>
    <w:rsid w:val="003932A9"/>
    <w:rsid w:val="00393956"/>
    <w:rsid w:val="00395342"/>
    <w:rsid w:val="003960BF"/>
    <w:rsid w:val="003A4879"/>
    <w:rsid w:val="003A51C9"/>
    <w:rsid w:val="003B719C"/>
    <w:rsid w:val="003B760A"/>
    <w:rsid w:val="003B7C75"/>
    <w:rsid w:val="003C01DC"/>
    <w:rsid w:val="003D3484"/>
    <w:rsid w:val="003D4E4D"/>
    <w:rsid w:val="003E1424"/>
    <w:rsid w:val="003E1707"/>
    <w:rsid w:val="003E28CE"/>
    <w:rsid w:val="003E331C"/>
    <w:rsid w:val="003E5BAA"/>
    <w:rsid w:val="003E7E05"/>
    <w:rsid w:val="003F09D4"/>
    <w:rsid w:val="003F2D0E"/>
    <w:rsid w:val="003F323A"/>
    <w:rsid w:val="003F4484"/>
    <w:rsid w:val="003F49C4"/>
    <w:rsid w:val="003F6336"/>
    <w:rsid w:val="003F760A"/>
    <w:rsid w:val="003F79BB"/>
    <w:rsid w:val="00400A7B"/>
    <w:rsid w:val="00403A9A"/>
    <w:rsid w:val="00404F33"/>
    <w:rsid w:val="004053CE"/>
    <w:rsid w:val="00405A88"/>
    <w:rsid w:val="00405FA1"/>
    <w:rsid w:val="00407129"/>
    <w:rsid w:val="00412261"/>
    <w:rsid w:val="0041379F"/>
    <w:rsid w:val="00413940"/>
    <w:rsid w:val="00415014"/>
    <w:rsid w:val="0041616E"/>
    <w:rsid w:val="004161ED"/>
    <w:rsid w:val="00420882"/>
    <w:rsid w:val="00422C38"/>
    <w:rsid w:val="004232B3"/>
    <w:rsid w:val="0042412D"/>
    <w:rsid w:val="00424714"/>
    <w:rsid w:val="00426D7B"/>
    <w:rsid w:val="004277E3"/>
    <w:rsid w:val="004311C3"/>
    <w:rsid w:val="00431525"/>
    <w:rsid w:val="00433CFA"/>
    <w:rsid w:val="00437CCA"/>
    <w:rsid w:val="004402D7"/>
    <w:rsid w:val="004424A7"/>
    <w:rsid w:val="00445CAD"/>
    <w:rsid w:val="00447F7C"/>
    <w:rsid w:val="00452397"/>
    <w:rsid w:val="00452A29"/>
    <w:rsid w:val="0045321B"/>
    <w:rsid w:val="00453D35"/>
    <w:rsid w:val="0045450D"/>
    <w:rsid w:val="00457246"/>
    <w:rsid w:val="0045736D"/>
    <w:rsid w:val="00457721"/>
    <w:rsid w:val="00457F6A"/>
    <w:rsid w:val="00460A48"/>
    <w:rsid w:val="00461870"/>
    <w:rsid w:val="00462EE4"/>
    <w:rsid w:val="004653D8"/>
    <w:rsid w:val="0046590A"/>
    <w:rsid w:val="004664D7"/>
    <w:rsid w:val="00466D8F"/>
    <w:rsid w:val="0047044F"/>
    <w:rsid w:val="00471074"/>
    <w:rsid w:val="00472546"/>
    <w:rsid w:val="00472B58"/>
    <w:rsid w:val="00480E81"/>
    <w:rsid w:val="004836EE"/>
    <w:rsid w:val="00485A38"/>
    <w:rsid w:val="00497F38"/>
    <w:rsid w:val="004A25C8"/>
    <w:rsid w:val="004A25CF"/>
    <w:rsid w:val="004A4380"/>
    <w:rsid w:val="004A4553"/>
    <w:rsid w:val="004A7438"/>
    <w:rsid w:val="004A7FB4"/>
    <w:rsid w:val="004B145F"/>
    <w:rsid w:val="004B17A4"/>
    <w:rsid w:val="004B2378"/>
    <w:rsid w:val="004B4829"/>
    <w:rsid w:val="004B54C6"/>
    <w:rsid w:val="004D1959"/>
    <w:rsid w:val="004D2CCF"/>
    <w:rsid w:val="004E2A80"/>
    <w:rsid w:val="004E2FA3"/>
    <w:rsid w:val="004E2FF5"/>
    <w:rsid w:val="004E4B21"/>
    <w:rsid w:val="004F036D"/>
    <w:rsid w:val="004F1723"/>
    <w:rsid w:val="00500EDD"/>
    <w:rsid w:val="00500F18"/>
    <w:rsid w:val="00502798"/>
    <w:rsid w:val="00504733"/>
    <w:rsid w:val="00504865"/>
    <w:rsid w:val="00505F1D"/>
    <w:rsid w:val="00506A74"/>
    <w:rsid w:val="00507C19"/>
    <w:rsid w:val="005119AF"/>
    <w:rsid w:val="00513B66"/>
    <w:rsid w:val="005162FD"/>
    <w:rsid w:val="00517039"/>
    <w:rsid w:val="00520BAA"/>
    <w:rsid w:val="0052282A"/>
    <w:rsid w:val="0052557E"/>
    <w:rsid w:val="005264C8"/>
    <w:rsid w:val="00530359"/>
    <w:rsid w:val="00532324"/>
    <w:rsid w:val="00533CCB"/>
    <w:rsid w:val="00534E93"/>
    <w:rsid w:val="0053530B"/>
    <w:rsid w:val="005365E0"/>
    <w:rsid w:val="00537BB1"/>
    <w:rsid w:val="005404A5"/>
    <w:rsid w:val="005417D1"/>
    <w:rsid w:val="005419A6"/>
    <w:rsid w:val="005442A7"/>
    <w:rsid w:val="00547B51"/>
    <w:rsid w:val="00551480"/>
    <w:rsid w:val="00551EB7"/>
    <w:rsid w:val="005539E6"/>
    <w:rsid w:val="00554345"/>
    <w:rsid w:val="00555C9D"/>
    <w:rsid w:val="005601B2"/>
    <w:rsid w:val="00563031"/>
    <w:rsid w:val="005669C6"/>
    <w:rsid w:val="005709D1"/>
    <w:rsid w:val="005727F3"/>
    <w:rsid w:val="00572A75"/>
    <w:rsid w:val="005736F3"/>
    <w:rsid w:val="0057420C"/>
    <w:rsid w:val="00574BE9"/>
    <w:rsid w:val="00580120"/>
    <w:rsid w:val="0058263A"/>
    <w:rsid w:val="00583477"/>
    <w:rsid w:val="00585722"/>
    <w:rsid w:val="005870FE"/>
    <w:rsid w:val="00593E84"/>
    <w:rsid w:val="005942E7"/>
    <w:rsid w:val="00596342"/>
    <w:rsid w:val="005A2418"/>
    <w:rsid w:val="005A3601"/>
    <w:rsid w:val="005A47AD"/>
    <w:rsid w:val="005B08F6"/>
    <w:rsid w:val="005B1E18"/>
    <w:rsid w:val="005B31DD"/>
    <w:rsid w:val="005B33FA"/>
    <w:rsid w:val="005B4D04"/>
    <w:rsid w:val="005B7545"/>
    <w:rsid w:val="005C281A"/>
    <w:rsid w:val="005C37E1"/>
    <w:rsid w:val="005C76D4"/>
    <w:rsid w:val="005C78E8"/>
    <w:rsid w:val="005D09D5"/>
    <w:rsid w:val="005D514C"/>
    <w:rsid w:val="005D6250"/>
    <w:rsid w:val="005E0635"/>
    <w:rsid w:val="005E0DB6"/>
    <w:rsid w:val="005E2159"/>
    <w:rsid w:val="005E30F2"/>
    <w:rsid w:val="005E6570"/>
    <w:rsid w:val="005E7C8D"/>
    <w:rsid w:val="005F08F1"/>
    <w:rsid w:val="005F1E76"/>
    <w:rsid w:val="005F2607"/>
    <w:rsid w:val="005F2644"/>
    <w:rsid w:val="005F31FB"/>
    <w:rsid w:val="005F3DDE"/>
    <w:rsid w:val="005F51CD"/>
    <w:rsid w:val="005F5CF0"/>
    <w:rsid w:val="005F645B"/>
    <w:rsid w:val="0060241A"/>
    <w:rsid w:val="00604D4A"/>
    <w:rsid w:val="00607E95"/>
    <w:rsid w:val="00610C52"/>
    <w:rsid w:val="00611508"/>
    <w:rsid w:val="00611905"/>
    <w:rsid w:val="006136E5"/>
    <w:rsid w:val="00614A79"/>
    <w:rsid w:val="00616EA8"/>
    <w:rsid w:val="006176DF"/>
    <w:rsid w:val="006218B5"/>
    <w:rsid w:val="00621EB1"/>
    <w:rsid w:val="00623B92"/>
    <w:rsid w:val="006274B7"/>
    <w:rsid w:val="00635909"/>
    <w:rsid w:val="0064039F"/>
    <w:rsid w:val="00645FFC"/>
    <w:rsid w:val="00646A50"/>
    <w:rsid w:val="00646F64"/>
    <w:rsid w:val="00647D24"/>
    <w:rsid w:val="006512DA"/>
    <w:rsid w:val="00656316"/>
    <w:rsid w:val="006600D4"/>
    <w:rsid w:val="00661A74"/>
    <w:rsid w:val="0066381D"/>
    <w:rsid w:val="00667CF8"/>
    <w:rsid w:val="00670006"/>
    <w:rsid w:val="0067207B"/>
    <w:rsid w:val="00673EB4"/>
    <w:rsid w:val="00682323"/>
    <w:rsid w:val="00686546"/>
    <w:rsid w:val="00686E33"/>
    <w:rsid w:val="0069353A"/>
    <w:rsid w:val="00694A20"/>
    <w:rsid w:val="00694B29"/>
    <w:rsid w:val="00696C1A"/>
    <w:rsid w:val="0069766B"/>
    <w:rsid w:val="00697A4A"/>
    <w:rsid w:val="00697EBB"/>
    <w:rsid w:val="006A1757"/>
    <w:rsid w:val="006A1836"/>
    <w:rsid w:val="006A2603"/>
    <w:rsid w:val="006A2AAE"/>
    <w:rsid w:val="006A33A0"/>
    <w:rsid w:val="006A5894"/>
    <w:rsid w:val="006A719E"/>
    <w:rsid w:val="006B0968"/>
    <w:rsid w:val="006B1945"/>
    <w:rsid w:val="006B57CE"/>
    <w:rsid w:val="006C226D"/>
    <w:rsid w:val="006C3610"/>
    <w:rsid w:val="006C3970"/>
    <w:rsid w:val="006C602A"/>
    <w:rsid w:val="006C6506"/>
    <w:rsid w:val="006C74B3"/>
    <w:rsid w:val="006C74C2"/>
    <w:rsid w:val="006D3873"/>
    <w:rsid w:val="006D5630"/>
    <w:rsid w:val="006D65FE"/>
    <w:rsid w:val="006D669B"/>
    <w:rsid w:val="006E31B4"/>
    <w:rsid w:val="006E3DA2"/>
    <w:rsid w:val="006E4A66"/>
    <w:rsid w:val="006E4EF6"/>
    <w:rsid w:val="006F009D"/>
    <w:rsid w:val="006F3BE2"/>
    <w:rsid w:val="006F3D40"/>
    <w:rsid w:val="006F4951"/>
    <w:rsid w:val="006F53AB"/>
    <w:rsid w:val="006F604C"/>
    <w:rsid w:val="006F6AF8"/>
    <w:rsid w:val="00701CC5"/>
    <w:rsid w:val="007028D4"/>
    <w:rsid w:val="00703BC1"/>
    <w:rsid w:val="007040EC"/>
    <w:rsid w:val="007052C3"/>
    <w:rsid w:val="007062B9"/>
    <w:rsid w:val="00706A70"/>
    <w:rsid w:val="00706B8D"/>
    <w:rsid w:val="007071D6"/>
    <w:rsid w:val="007077B3"/>
    <w:rsid w:val="007104F3"/>
    <w:rsid w:val="00710A2F"/>
    <w:rsid w:val="00712349"/>
    <w:rsid w:val="00712810"/>
    <w:rsid w:val="007130E0"/>
    <w:rsid w:val="00713C81"/>
    <w:rsid w:val="00713E13"/>
    <w:rsid w:val="007173EC"/>
    <w:rsid w:val="007178B3"/>
    <w:rsid w:val="0072303F"/>
    <w:rsid w:val="0072371F"/>
    <w:rsid w:val="00725FB2"/>
    <w:rsid w:val="00726BE6"/>
    <w:rsid w:val="00731944"/>
    <w:rsid w:val="00733E7F"/>
    <w:rsid w:val="007341E6"/>
    <w:rsid w:val="007363C6"/>
    <w:rsid w:val="0073685A"/>
    <w:rsid w:val="00737987"/>
    <w:rsid w:val="00742C9E"/>
    <w:rsid w:val="00744351"/>
    <w:rsid w:val="00744B72"/>
    <w:rsid w:val="007558C4"/>
    <w:rsid w:val="00756B8E"/>
    <w:rsid w:val="00756EAE"/>
    <w:rsid w:val="00765447"/>
    <w:rsid w:val="00767038"/>
    <w:rsid w:val="00767989"/>
    <w:rsid w:val="00767B10"/>
    <w:rsid w:val="00770187"/>
    <w:rsid w:val="00771726"/>
    <w:rsid w:val="007805ED"/>
    <w:rsid w:val="00781F40"/>
    <w:rsid w:val="007826D0"/>
    <w:rsid w:val="00782C01"/>
    <w:rsid w:val="0078307D"/>
    <w:rsid w:val="00783919"/>
    <w:rsid w:val="00783FB1"/>
    <w:rsid w:val="00783FF5"/>
    <w:rsid w:val="00785DA5"/>
    <w:rsid w:val="00785FB0"/>
    <w:rsid w:val="007913B0"/>
    <w:rsid w:val="007915BA"/>
    <w:rsid w:val="00791C88"/>
    <w:rsid w:val="00792C3E"/>
    <w:rsid w:val="007948AE"/>
    <w:rsid w:val="00794915"/>
    <w:rsid w:val="00796CBB"/>
    <w:rsid w:val="007971DF"/>
    <w:rsid w:val="007A15BB"/>
    <w:rsid w:val="007A1DD3"/>
    <w:rsid w:val="007A2FE6"/>
    <w:rsid w:val="007A3443"/>
    <w:rsid w:val="007A60E4"/>
    <w:rsid w:val="007B165A"/>
    <w:rsid w:val="007B276F"/>
    <w:rsid w:val="007B334E"/>
    <w:rsid w:val="007B34A2"/>
    <w:rsid w:val="007B6643"/>
    <w:rsid w:val="007B689B"/>
    <w:rsid w:val="007B7BEB"/>
    <w:rsid w:val="007C3337"/>
    <w:rsid w:val="007C3F49"/>
    <w:rsid w:val="007C51CD"/>
    <w:rsid w:val="007C558B"/>
    <w:rsid w:val="007C6794"/>
    <w:rsid w:val="007C6808"/>
    <w:rsid w:val="007C7CC5"/>
    <w:rsid w:val="007D2A71"/>
    <w:rsid w:val="007D31B5"/>
    <w:rsid w:val="007D410B"/>
    <w:rsid w:val="007D5375"/>
    <w:rsid w:val="007E1AF0"/>
    <w:rsid w:val="007E301C"/>
    <w:rsid w:val="007E45AE"/>
    <w:rsid w:val="007E5CDA"/>
    <w:rsid w:val="007F2091"/>
    <w:rsid w:val="007F327D"/>
    <w:rsid w:val="007F41A7"/>
    <w:rsid w:val="007F6DAF"/>
    <w:rsid w:val="008014C9"/>
    <w:rsid w:val="00803121"/>
    <w:rsid w:val="00810670"/>
    <w:rsid w:val="0081182B"/>
    <w:rsid w:val="00814078"/>
    <w:rsid w:val="008140AA"/>
    <w:rsid w:val="00815471"/>
    <w:rsid w:val="00815968"/>
    <w:rsid w:val="00815D2F"/>
    <w:rsid w:val="00815EC5"/>
    <w:rsid w:val="0082048E"/>
    <w:rsid w:val="00820BAD"/>
    <w:rsid w:val="008308C7"/>
    <w:rsid w:val="00832867"/>
    <w:rsid w:val="008334E8"/>
    <w:rsid w:val="008349FC"/>
    <w:rsid w:val="008375D7"/>
    <w:rsid w:val="00845883"/>
    <w:rsid w:val="00846778"/>
    <w:rsid w:val="00846C89"/>
    <w:rsid w:val="00847DFD"/>
    <w:rsid w:val="008504F2"/>
    <w:rsid w:val="00851E22"/>
    <w:rsid w:val="0085456D"/>
    <w:rsid w:val="00855834"/>
    <w:rsid w:val="00857E47"/>
    <w:rsid w:val="00861E99"/>
    <w:rsid w:val="0086413D"/>
    <w:rsid w:val="00872CC9"/>
    <w:rsid w:val="00874927"/>
    <w:rsid w:val="00875535"/>
    <w:rsid w:val="00881032"/>
    <w:rsid w:val="00881AE8"/>
    <w:rsid w:val="0088229C"/>
    <w:rsid w:val="00882F8D"/>
    <w:rsid w:val="00883549"/>
    <w:rsid w:val="0089590C"/>
    <w:rsid w:val="00895ADA"/>
    <w:rsid w:val="00897667"/>
    <w:rsid w:val="008A1B94"/>
    <w:rsid w:val="008A24DD"/>
    <w:rsid w:val="008A5D43"/>
    <w:rsid w:val="008A62BB"/>
    <w:rsid w:val="008A6FEC"/>
    <w:rsid w:val="008B21E2"/>
    <w:rsid w:val="008B2CE0"/>
    <w:rsid w:val="008B71D1"/>
    <w:rsid w:val="008C6CBA"/>
    <w:rsid w:val="008C6D59"/>
    <w:rsid w:val="008C7618"/>
    <w:rsid w:val="008D17C0"/>
    <w:rsid w:val="008D24C0"/>
    <w:rsid w:val="008D354F"/>
    <w:rsid w:val="008D3820"/>
    <w:rsid w:val="008D6399"/>
    <w:rsid w:val="008E2906"/>
    <w:rsid w:val="008E470C"/>
    <w:rsid w:val="008E4DF3"/>
    <w:rsid w:val="008E5AA8"/>
    <w:rsid w:val="008E6A14"/>
    <w:rsid w:val="008F062E"/>
    <w:rsid w:val="008F5655"/>
    <w:rsid w:val="008F5F5C"/>
    <w:rsid w:val="00900C01"/>
    <w:rsid w:val="00903279"/>
    <w:rsid w:val="0090524B"/>
    <w:rsid w:val="009064E8"/>
    <w:rsid w:val="009119FE"/>
    <w:rsid w:val="0091234B"/>
    <w:rsid w:val="00912580"/>
    <w:rsid w:val="0091356E"/>
    <w:rsid w:val="00913DCD"/>
    <w:rsid w:val="009155D7"/>
    <w:rsid w:val="00917856"/>
    <w:rsid w:val="009204B1"/>
    <w:rsid w:val="00920937"/>
    <w:rsid w:val="00923706"/>
    <w:rsid w:val="00924819"/>
    <w:rsid w:val="00925E68"/>
    <w:rsid w:val="00926924"/>
    <w:rsid w:val="00927063"/>
    <w:rsid w:val="009378FD"/>
    <w:rsid w:val="00940FE3"/>
    <w:rsid w:val="00941498"/>
    <w:rsid w:val="00941547"/>
    <w:rsid w:val="00943116"/>
    <w:rsid w:val="00943CC6"/>
    <w:rsid w:val="009440FE"/>
    <w:rsid w:val="00952C14"/>
    <w:rsid w:val="00954B9D"/>
    <w:rsid w:val="009567D3"/>
    <w:rsid w:val="0095682A"/>
    <w:rsid w:val="00957560"/>
    <w:rsid w:val="009608AA"/>
    <w:rsid w:val="0096229C"/>
    <w:rsid w:val="009678FD"/>
    <w:rsid w:val="00967AC7"/>
    <w:rsid w:val="0097034F"/>
    <w:rsid w:val="00974B86"/>
    <w:rsid w:val="00975966"/>
    <w:rsid w:val="00980DCA"/>
    <w:rsid w:val="00982112"/>
    <w:rsid w:val="00982BE4"/>
    <w:rsid w:val="00983D71"/>
    <w:rsid w:val="00984945"/>
    <w:rsid w:val="009856C6"/>
    <w:rsid w:val="00985DF0"/>
    <w:rsid w:val="00986586"/>
    <w:rsid w:val="0098662C"/>
    <w:rsid w:val="00990A49"/>
    <w:rsid w:val="00991F07"/>
    <w:rsid w:val="00992EA4"/>
    <w:rsid w:val="00994625"/>
    <w:rsid w:val="00996973"/>
    <w:rsid w:val="009A1F8A"/>
    <w:rsid w:val="009A2248"/>
    <w:rsid w:val="009A42BC"/>
    <w:rsid w:val="009A4E26"/>
    <w:rsid w:val="009A4FE6"/>
    <w:rsid w:val="009A699A"/>
    <w:rsid w:val="009B0984"/>
    <w:rsid w:val="009B4140"/>
    <w:rsid w:val="009B4905"/>
    <w:rsid w:val="009B583F"/>
    <w:rsid w:val="009C058F"/>
    <w:rsid w:val="009C4E01"/>
    <w:rsid w:val="009D0B6B"/>
    <w:rsid w:val="009D1D61"/>
    <w:rsid w:val="009D1DFC"/>
    <w:rsid w:val="009D5D94"/>
    <w:rsid w:val="009E0B35"/>
    <w:rsid w:val="009E3BA0"/>
    <w:rsid w:val="009F0013"/>
    <w:rsid w:val="009F018B"/>
    <w:rsid w:val="009F3A95"/>
    <w:rsid w:val="009F3E52"/>
    <w:rsid w:val="009F3F8C"/>
    <w:rsid w:val="009F45DA"/>
    <w:rsid w:val="009F55ED"/>
    <w:rsid w:val="009F6BE6"/>
    <w:rsid w:val="009F7B0E"/>
    <w:rsid w:val="009F7CCA"/>
    <w:rsid w:val="00A0543F"/>
    <w:rsid w:val="00A05A8B"/>
    <w:rsid w:val="00A10082"/>
    <w:rsid w:val="00A1025C"/>
    <w:rsid w:val="00A106A3"/>
    <w:rsid w:val="00A11F9E"/>
    <w:rsid w:val="00A12FDE"/>
    <w:rsid w:val="00A13714"/>
    <w:rsid w:val="00A147ED"/>
    <w:rsid w:val="00A15D64"/>
    <w:rsid w:val="00A15E44"/>
    <w:rsid w:val="00A16BCB"/>
    <w:rsid w:val="00A174B2"/>
    <w:rsid w:val="00A22572"/>
    <w:rsid w:val="00A22BAA"/>
    <w:rsid w:val="00A23285"/>
    <w:rsid w:val="00A23A13"/>
    <w:rsid w:val="00A24DD6"/>
    <w:rsid w:val="00A25405"/>
    <w:rsid w:val="00A30279"/>
    <w:rsid w:val="00A3184E"/>
    <w:rsid w:val="00A31B77"/>
    <w:rsid w:val="00A31DC4"/>
    <w:rsid w:val="00A328E7"/>
    <w:rsid w:val="00A3541E"/>
    <w:rsid w:val="00A41A13"/>
    <w:rsid w:val="00A431C5"/>
    <w:rsid w:val="00A45389"/>
    <w:rsid w:val="00A47926"/>
    <w:rsid w:val="00A504AF"/>
    <w:rsid w:val="00A5430D"/>
    <w:rsid w:val="00A55387"/>
    <w:rsid w:val="00A55D3E"/>
    <w:rsid w:val="00A564D3"/>
    <w:rsid w:val="00A61BD5"/>
    <w:rsid w:val="00A638D2"/>
    <w:rsid w:val="00A63A0E"/>
    <w:rsid w:val="00A651FA"/>
    <w:rsid w:val="00A66108"/>
    <w:rsid w:val="00A71781"/>
    <w:rsid w:val="00A72925"/>
    <w:rsid w:val="00A74D8D"/>
    <w:rsid w:val="00A75885"/>
    <w:rsid w:val="00A76556"/>
    <w:rsid w:val="00A76D61"/>
    <w:rsid w:val="00A77455"/>
    <w:rsid w:val="00A77E91"/>
    <w:rsid w:val="00A86706"/>
    <w:rsid w:val="00A87B86"/>
    <w:rsid w:val="00A9072A"/>
    <w:rsid w:val="00A91E0A"/>
    <w:rsid w:val="00A971C4"/>
    <w:rsid w:val="00AA1F52"/>
    <w:rsid w:val="00AA38C7"/>
    <w:rsid w:val="00AA6DDC"/>
    <w:rsid w:val="00AA7A98"/>
    <w:rsid w:val="00AA7AE1"/>
    <w:rsid w:val="00AB021E"/>
    <w:rsid w:val="00AB0447"/>
    <w:rsid w:val="00AB108E"/>
    <w:rsid w:val="00AB198A"/>
    <w:rsid w:val="00AB296D"/>
    <w:rsid w:val="00AB29DC"/>
    <w:rsid w:val="00AB4E65"/>
    <w:rsid w:val="00AC0617"/>
    <w:rsid w:val="00AC1076"/>
    <w:rsid w:val="00AC34AE"/>
    <w:rsid w:val="00AC3687"/>
    <w:rsid w:val="00AC385E"/>
    <w:rsid w:val="00AC5E12"/>
    <w:rsid w:val="00AC6A52"/>
    <w:rsid w:val="00AD32AB"/>
    <w:rsid w:val="00AD512D"/>
    <w:rsid w:val="00AD5315"/>
    <w:rsid w:val="00AD7317"/>
    <w:rsid w:val="00AD7BD7"/>
    <w:rsid w:val="00AE1325"/>
    <w:rsid w:val="00AE1C15"/>
    <w:rsid w:val="00AE31B4"/>
    <w:rsid w:val="00AE3244"/>
    <w:rsid w:val="00AE4817"/>
    <w:rsid w:val="00AE4FDF"/>
    <w:rsid w:val="00AE7DA7"/>
    <w:rsid w:val="00AE7E04"/>
    <w:rsid w:val="00AF0A17"/>
    <w:rsid w:val="00AF4FAB"/>
    <w:rsid w:val="00AF58EE"/>
    <w:rsid w:val="00AF7782"/>
    <w:rsid w:val="00B05F64"/>
    <w:rsid w:val="00B10021"/>
    <w:rsid w:val="00B14C86"/>
    <w:rsid w:val="00B17AF5"/>
    <w:rsid w:val="00B26AE9"/>
    <w:rsid w:val="00B270F7"/>
    <w:rsid w:val="00B32E75"/>
    <w:rsid w:val="00B343DC"/>
    <w:rsid w:val="00B35696"/>
    <w:rsid w:val="00B370F6"/>
    <w:rsid w:val="00B375E6"/>
    <w:rsid w:val="00B41B72"/>
    <w:rsid w:val="00B42E8E"/>
    <w:rsid w:val="00B4609B"/>
    <w:rsid w:val="00B514B9"/>
    <w:rsid w:val="00B53659"/>
    <w:rsid w:val="00B555F4"/>
    <w:rsid w:val="00B55F28"/>
    <w:rsid w:val="00B56243"/>
    <w:rsid w:val="00B56B1F"/>
    <w:rsid w:val="00B56C47"/>
    <w:rsid w:val="00B56F67"/>
    <w:rsid w:val="00B604B9"/>
    <w:rsid w:val="00B64E1D"/>
    <w:rsid w:val="00B65720"/>
    <w:rsid w:val="00B70951"/>
    <w:rsid w:val="00B72115"/>
    <w:rsid w:val="00B726D2"/>
    <w:rsid w:val="00B7395D"/>
    <w:rsid w:val="00B74AD2"/>
    <w:rsid w:val="00B752C6"/>
    <w:rsid w:val="00B75AE0"/>
    <w:rsid w:val="00B76028"/>
    <w:rsid w:val="00B76597"/>
    <w:rsid w:val="00B800BC"/>
    <w:rsid w:val="00B80232"/>
    <w:rsid w:val="00B81865"/>
    <w:rsid w:val="00B84713"/>
    <w:rsid w:val="00B91B8C"/>
    <w:rsid w:val="00B92379"/>
    <w:rsid w:val="00B9351A"/>
    <w:rsid w:val="00B95FA2"/>
    <w:rsid w:val="00BA01D0"/>
    <w:rsid w:val="00BA3161"/>
    <w:rsid w:val="00BA33A3"/>
    <w:rsid w:val="00BA34F4"/>
    <w:rsid w:val="00BB166F"/>
    <w:rsid w:val="00BB39E4"/>
    <w:rsid w:val="00BB5319"/>
    <w:rsid w:val="00BB6F09"/>
    <w:rsid w:val="00BB7F91"/>
    <w:rsid w:val="00BC4B9B"/>
    <w:rsid w:val="00BC5C89"/>
    <w:rsid w:val="00BC5E3D"/>
    <w:rsid w:val="00BC6263"/>
    <w:rsid w:val="00BC63BE"/>
    <w:rsid w:val="00BD173A"/>
    <w:rsid w:val="00BD7E67"/>
    <w:rsid w:val="00BE28CA"/>
    <w:rsid w:val="00BE2D8B"/>
    <w:rsid w:val="00BE329F"/>
    <w:rsid w:val="00BE32D6"/>
    <w:rsid w:val="00BE59E2"/>
    <w:rsid w:val="00BE7834"/>
    <w:rsid w:val="00BF0809"/>
    <w:rsid w:val="00BF3C25"/>
    <w:rsid w:val="00BF7090"/>
    <w:rsid w:val="00C017C1"/>
    <w:rsid w:val="00C019FD"/>
    <w:rsid w:val="00C04070"/>
    <w:rsid w:val="00C04506"/>
    <w:rsid w:val="00C05005"/>
    <w:rsid w:val="00C07AF9"/>
    <w:rsid w:val="00C107AB"/>
    <w:rsid w:val="00C11427"/>
    <w:rsid w:val="00C12CF3"/>
    <w:rsid w:val="00C160E3"/>
    <w:rsid w:val="00C22550"/>
    <w:rsid w:val="00C23449"/>
    <w:rsid w:val="00C23C0E"/>
    <w:rsid w:val="00C25C3C"/>
    <w:rsid w:val="00C27F5D"/>
    <w:rsid w:val="00C30025"/>
    <w:rsid w:val="00C354CE"/>
    <w:rsid w:val="00C4429C"/>
    <w:rsid w:val="00C447A1"/>
    <w:rsid w:val="00C44D38"/>
    <w:rsid w:val="00C46B15"/>
    <w:rsid w:val="00C50ED0"/>
    <w:rsid w:val="00C51DDC"/>
    <w:rsid w:val="00C53C8A"/>
    <w:rsid w:val="00C5400A"/>
    <w:rsid w:val="00C540D8"/>
    <w:rsid w:val="00C54964"/>
    <w:rsid w:val="00C63044"/>
    <w:rsid w:val="00C63FE3"/>
    <w:rsid w:val="00C64769"/>
    <w:rsid w:val="00C64AE9"/>
    <w:rsid w:val="00C65A18"/>
    <w:rsid w:val="00C665B4"/>
    <w:rsid w:val="00C73387"/>
    <w:rsid w:val="00C75A54"/>
    <w:rsid w:val="00C8214B"/>
    <w:rsid w:val="00C85088"/>
    <w:rsid w:val="00C86458"/>
    <w:rsid w:val="00C90EA7"/>
    <w:rsid w:val="00C92AFC"/>
    <w:rsid w:val="00C93ABA"/>
    <w:rsid w:val="00C95148"/>
    <w:rsid w:val="00CA4AE6"/>
    <w:rsid w:val="00CA6EB3"/>
    <w:rsid w:val="00CB11EB"/>
    <w:rsid w:val="00CB4D59"/>
    <w:rsid w:val="00CB4DE0"/>
    <w:rsid w:val="00CC0D11"/>
    <w:rsid w:val="00CC18C1"/>
    <w:rsid w:val="00CC27F5"/>
    <w:rsid w:val="00CC7C2C"/>
    <w:rsid w:val="00CC7D6D"/>
    <w:rsid w:val="00CD12A8"/>
    <w:rsid w:val="00CD66CE"/>
    <w:rsid w:val="00CE0DFC"/>
    <w:rsid w:val="00CF16C4"/>
    <w:rsid w:val="00CF1D54"/>
    <w:rsid w:val="00CF2563"/>
    <w:rsid w:val="00CF3EEA"/>
    <w:rsid w:val="00CF419F"/>
    <w:rsid w:val="00CF5028"/>
    <w:rsid w:val="00CF5713"/>
    <w:rsid w:val="00D02BC4"/>
    <w:rsid w:val="00D03167"/>
    <w:rsid w:val="00D1042D"/>
    <w:rsid w:val="00D11F61"/>
    <w:rsid w:val="00D130EA"/>
    <w:rsid w:val="00D1446A"/>
    <w:rsid w:val="00D14A5E"/>
    <w:rsid w:val="00D15116"/>
    <w:rsid w:val="00D237DA"/>
    <w:rsid w:val="00D245F8"/>
    <w:rsid w:val="00D257A9"/>
    <w:rsid w:val="00D25E4F"/>
    <w:rsid w:val="00D31262"/>
    <w:rsid w:val="00D328F6"/>
    <w:rsid w:val="00D331EE"/>
    <w:rsid w:val="00D344B1"/>
    <w:rsid w:val="00D35B4C"/>
    <w:rsid w:val="00D35EDE"/>
    <w:rsid w:val="00D35FCA"/>
    <w:rsid w:val="00D41016"/>
    <w:rsid w:val="00D4145F"/>
    <w:rsid w:val="00D41D14"/>
    <w:rsid w:val="00D42A86"/>
    <w:rsid w:val="00D47197"/>
    <w:rsid w:val="00D51482"/>
    <w:rsid w:val="00D5173D"/>
    <w:rsid w:val="00D61BFD"/>
    <w:rsid w:val="00D652BC"/>
    <w:rsid w:val="00D65EFD"/>
    <w:rsid w:val="00D66ABF"/>
    <w:rsid w:val="00D670A4"/>
    <w:rsid w:val="00D67A1E"/>
    <w:rsid w:val="00D67B55"/>
    <w:rsid w:val="00D70258"/>
    <w:rsid w:val="00D71268"/>
    <w:rsid w:val="00D730AC"/>
    <w:rsid w:val="00D736AC"/>
    <w:rsid w:val="00D73889"/>
    <w:rsid w:val="00D758A4"/>
    <w:rsid w:val="00D76347"/>
    <w:rsid w:val="00D82013"/>
    <w:rsid w:val="00D83102"/>
    <w:rsid w:val="00D83CAB"/>
    <w:rsid w:val="00D85705"/>
    <w:rsid w:val="00D867B6"/>
    <w:rsid w:val="00D86B41"/>
    <w:rsid w:val="00D87BFF"/>
    <w:rsid w:val="00D87F64"/>
    <w:rsid w:val="00D93163"/>
    <w:rsid w:val="00D93BA3"/>
    <w:rsid w:val="00D9508C"/>
    <w:rsid w:val="00D952C9"/>
    <w:rsid w:val="00D95C7E"/>
    <w:rsid w:val="00DA1CBD"/>
    <w:rsid w:val="00DA530D"/>
    <w:rsid w:val="00DA5604"/>
    <w:rsid w:val="00DB132E"/>
    <w:rsid w:val="00DB6D7A"/>
    <w:rsid w:val="00DC0895"/>
    <w:rsid w:val="00DC0B3A"/>
    <w:rsid w:val="00DC0BBA"/>
    <w:rsid w:val="00DC1F3C"/>
    <w:rsid w:val="00DC2518"/>
    <w:rsid w:val="00DD0BB5"/>
    <w:rsid w:val="00DD4198"/>
    <w:rsid w:val="00DD4EB3"/>
    <w:rsid w:val="00DD57ED"/>
    <w:rsid w:val="00DD7EE5"/>
    <w:rsid w:val="00DE1193"/>
    <w:rsid w:val="00DE1265"/>
    <w:rsid w:val="00DE12CE"/>
    <w:rsid w:val="00DE14E6"/>
    <w:rsid w:val="00DE1643"/>
    <w:rsid w:val="00DE22D3"/>
    <w:rsid w:val="00DE312D"/>
    <w:rsid w:val="00DE6E2A"/>
    <w:rsid w:val="00DF00F1"/>
    <w:rsid w:val="00DF0218"/>
    <w:rsid w:val="00DF0730"/>
    <w:rsid w:val="00DF59CC"/>
    <w:rsid w:val="00DF6458"/>
    <w:rsid w:val="00DF73BD"/>
    <w:rsid w:val="00E01BDA"/>
    <w:rsid w:val="00E04265"/>
    <w:rsid w:val="00E12F7B"/>
    <w:rsid w:val="00E15269"/>
    <w:rsid w:val="00E15E42"/>
    <w:rsid w:val="00E1610D"/>
    <w:rsid w:val="00E169E0"/>
    <w:rsid w:val="00E17C8D"/>
    <w:rsid w:val="00E250E5"/>
    <w:rsid w:val="00E2775C"/>
    <w:rsid w:val="00E30B01"/>
    <w:rsid w:val="00E30DCF"/>
    <w:rsid w:val="00E32E19"/>
    <w:rsid w:val="00E33686"/>
    <w:rsid w:val="00E376FC"/>
    <w:rsid w:val="00E3777B"/>
    <w:rsid w:val="00E37AEB"/>
    <w:rsid w:val="00E4086E"/>
    <w:rsid w:val="00E40E0D"/>
    <w:rsid w:val="00E41DC2"/>
    <w:rsid w:val="00E454BF"/>
    <w:rsid w:val="00E45503"/>
    <w:rsid w:val="00E474DE"/>
    <w:rsid w:val="00E47CA3"/>
    <w:rsid w:val="00E503DE"/>
    <w:rsid w:val="00E56FB2"/>
    <w:rsid w:val="00E601CA"/>
    <w:rsid w:val="00E6264B"/>
    <w:rsid w:val="00E64B32"/>
    <w:rsid w:val="00E65224"/>
    <w:rsid w:val="00E66BDA"/>
    <w:rsid w:val="00E679ED"/>
    <w:rsid w:val="00E70ECB"/>
    <w:rsid w:val="00E71119"/>
    <w:rsid w:val="00E72324"/>
    <w:rsid w:val="00E7632A"/>
    <w:rsid w:val="00E77EA6"/>
    <w:rsid w:val="00E8256A"/>
    <w:rsid w:val="00E82666"/>
    <w:rsid w:val="00E83AB0"/>
    <w:rsid w:val="00E86300"/>
    <w:rsid w:val="00E90140"/>
    <w:rsid w:val="00E933FD"/>
    <w:rsid w:val="00E9707B"/>
    <w:rsid w:val="00E97CAA"/>
    <w:rsid w:val="00EA0DC8"/>
    <w:rsid w:val="00EA11C8"/>
    <w:rsid w:val="00EA15CD"/>
    <w:rsid w:val="00EA249A"/>
    <w:rsid w:val="00EA4E85"/>
    <w:rsid w:val="00EA74CF"/>
    <w:rsid w:val="00EB012F"/>
    <w:rsid w:val="00EB0709"/>
    <w:rsid w:val="00EB4094"/>
    <w:rsid w:val="00EB59C7"/>
    <w:rsid w:val="00EC2D32"/>
    <w:rsid w:val="00EC67B0"/>
    <w:rsid w:val="00ED122C"/>
    <w:rsid w:val="00ED2CB5"/>
    <w:rsid w:val="00ED4DA1"/>
    <w:rsid w:val="00ED78BF"/>
    <w:rsid w:val="00ED7D00"/>
    <w:rsid w:val="00EE2C39"/>
    <w:rsid w:val="00EE3DBA"/>
    <w:rsid w:val="00EE3F9F"/>
    <w:rsid w:val="00EE4365"/>
    <w:rsid w:val="00EE49C8"/>
    <w:rsid w:val="00EE5E18"/>
    <w:rsid w:val="00EE6BBF"/>
    <w:rsid w:val="00EF1C81"/>
    <w:rsid w:val="00EF29BD"/>
    <w:rsid w:val="00EF67C9"/>
    <w:rsid w:val="00EF713E"/>
    <w:rsid w:val="00F013F0"/>
    <w:rsid w:val="00F01B19"/>
    <w:rsid w:val="00F0306F"/>
    <w:rsid w:val="00F03C7D"/>
    <w:rsid w:val="00F05008"/>
    <w:rsid w:val="00F160B7"/>
    <w:rsid w:val="00F17AE8"/>
    <w:rsid w:val="00F20516"/>
    <w:rsid w:val="00F22530"/>
    <w:rsid w:val="00F22540"/>
    <w:rsid w:val="00F23565"/>
    <w:rsid w:val="00F25F46"/>
    <w:rsid w:val="00F26CEA"/>
    <w:rsid w:val="00F2761E"/>
    <w:rsid w:val="00F27F7A"/>
    <w:rsid w:val="00F30EAF"/>
    <w:rsid w:val="00F34FCD"/>
    <w:rsid w:val="00F3510D"/>
    <w:rsid w:val="00F37F64"/>
    <w:rsid w:val="00F433D0"/>
    <w:rsid w:val="00F44384"/>
    <w:rsid w:val="00F4720C"/>
    <w:rsid w:val="00F47B20"/>
    <w:rsid w:val="00F47FEA"/>
    <w:rsid w:val="00F5056A"/>
    <w:rsid w:val="00F551E1"/>
    <w:rsid w:val="00F57B65"/>
    <w:rsid w:val="00F604F1"/>
    <w:rsid w:val="00F60541"/>
    <w:rsid w:val="00F6149C"/>
    <w:rsid w:val="00F620C1"/>
    <w:rsid w:val="00F627D7"/>
    <w:rsid w:val="00F64003"/>
    <w:rsid w:val="00F702D3"/>
    <w:rsid w:val="00F70EB3"/>
    <w:rsid w:val="00F734C4"/>
    <w:rsid w:val="00F74548"/>
    <w:rsid w:val="00F75374"/>
    <w:rsid w:val="00F80B32"/>
    <w:rsid w:val="00F81426"/>
    <w:rsid w:val="00F87604"/>
    <w:rsid w:val="00F90785"/>
    <w:rsid w:val="00F90D9C"/>
    <w:rsid w:val="00F9209E"/>
    <w:rsid w:val="00F929DE"/>
    <w:rsid w:val="00F9480E"/>
    <w:rsid w:val="00FA1922"/>
    <w:rsid w:val="00FA2BDE"/>
    <w:rsid w:val="00FA3224"/>
    <w:rsid w:val="00FA4329"/>
    <w:rsid w:val="00FA6375"/>
    <w:rsid w:val="00FA7153"/>
    <w:rsid w:val="00FB1A5E"/>
    <w:rsid w:val="00FB2591"/>
    <w:rsid w:val="00FB4109"/>
    <w:rsid w:val="00FB6688"/>
    <w:rsid w:val="00FB7E90"/>
    <w:rsid w:val="00FC0755"/>
    <w:rsid w:val="00FC0A25"/>
    <w:rsid w:val="00FD4B04"/>
    <w:rsid w:val="00FD5266"/>
    <w:rsid w:val="00FD5282"/>
    <w:rsid w:val="00FD55B9"/>
    <w:rsid w:val="00FD6B30"/>
    <w:rsid w:val="00FD742A"/>
    <w:rsid w:val="00FE2CD1"/>
    <w:rsid w:val="00FE381B"/>
    <w:rsid w:val="00FE3EEE"/>
    <w:rsid w:val="00FE639E"/>
    <w:rsid w:val="00FE6CA5"/>
    <w:rsid w:val="00FF06E3"/>
    <w:rsid w:val="00FF3E16"/>
    <w:rsid w:val="00FF5BDF"/>
    <w:rsid w:val="00FF6FF5"/>
    <w:rsid w:val="00FF7CA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28B9F"/>
  <w15:chartTrackingRefBased/>
  <w15:docId w15:val="{5D8AE7BD-F11F-4D6A-8C2F-484F1862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E32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6F3D4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D328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328F6"/>
    <w:rPr>
      <w:rFonts w:ascii="Courier New" w:eastAsia="Times New Roman" w:hAnsi="Courier New" w:cs="Courier New"/>
      <w:sz w:val="20"/>
      <w:szCs w:val="20"/>
      <w:lang w:eastAsia="it-IT"/>
    </w:rPr>
  </w:style>
  <w:style w:type="character" w:styleId="Enfasicorsivo">
    <w:name w:val="Emphasis"/>
    <w:basedOn w:val="Carpredefinitoparagrafo"/>
    <w:uiPriority w:val="20"/>
    <w:qFormat/>
    <w:rsid w:val="00604D4A"/>
    <w:rPr>
      <w:i/>
      <w:iCs/>
    </w:rPr>
  </w:style>
  <w:style w:type="paragraph" w:customStyle="1" w:styleId="Default">
    <w:name w:val="Default"/>
    <w:rsid w:val="00532324"/>
    <w:pPr>
      <w:autoSpaceDE w:val="0"/>
      <w:autoSpaceDN w:val="0"/>
      <w:adjustRightInd w:val="0"/>
      <w:spacing w:after="0" w:line="240" w:lineRule="auto"/>
    </w:pPr>
    <w:rPr>
      <w:rFonts w:ascii="Segoe UI" w:hAnsi="Segoe UI" w:cs="Segoe UI"/>
      <w:color w:val="000000"/>
      <w:sz w:val="24"/>
      <w:szCs w:val="24"/>
    </w:rPr>
  </w:style>
  <w:style w:type="character" w:styleId="Collegamentoipertestuale">
    <w:name w:val="Hyperlink"/>
    <w:basedOn w:val="Carpredefinitoparagrafo"/>
    <w:uiPriority w:val="99"/>
    <w:semiHidden/>
    <w:unhideWhenUsed/>
    <w:rsid w:val="00CF5713"/>
    <w:rPr>
      <w:color w:val="0000FF"/>
      <w:u w:val="single"/>
    </w:rPr>
  </w:style>
  <w:style w:type="character" w:customStyle="1" w:styleId="Titolo2Carattere">
    <w:name w:val="Titolo 2 Carattere"/>
    <w:basedOn w:val="Carpredefinitoparagrafo"/>
    <w:link w:val="Titolo2"/>
    <w:uiPriority w:val="9"/>
    <w:rsid w:val="006F3D40"/>
    <w:rPr>
      <w:rFonts w:ascii="Times New Roman" w:eastAsia="Times New Roman" w:hAnsi="Times New Roman" w:cs="Times New Roman"/>
      <w:b/>
      <w:bCs/>
      <w:sz w:val="36"/>
      <w:szCs w:val="36"/>
      <w:lang w:eastAsia="it-IT"/>
    </w:rPr>
  </w:style>
  <w:style w:type="paragraph" w:customStyle="1" w:styleId="Data1">
    <w:name w:val="Data1"/>
    <w:basedOn w:val="Normale"/>
    <w:rsid w:val="006F3D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EA74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74CF"/>
  </w:style>
  <w:style w:type="paragraph" w:styleId="Pidipagina">
    <w:name w:val="footer"/>
    <w:basedOn w:val="Normale"/>
    <w:link w:val="PidipaginaCarattere"/>
    <w:uiPriority w:val="99"/>
    <w:unhideWhenUsed/>
    <w:rsid w:val="00EA74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74CF"/>
  </w:style>
  <w:style w:type="paragraph" w:styleId="Testonotaapidipagina">
    <w:name w:val="footnote text"/>
    <w:basedOn w:val="Normale"/>
    <w:link w:val="TestonotaapidipaginaCarattere"/>
    <w:uiPriority w:val="99"/>
    <w:semiHidden/>
    <w:unhideWhenUsed/>
    <w:rsid w:val="003725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72534"/>
    <w:rPr>
      <w:sz w:val="20"/>
      <w:szCs w:val="20"/>
    </w:rPr>
  </w:style>
  <w:style w:type="character" w:styleId="Rimandonotaapidipagina">
    <w:name w:val="footnote reference"/>
    <w:basedOn w:val="Carpredefinitoparagrafo"/>
    <w:uiPriority w:val="99"/>
    <w:semiHidden/>
    <w:unhideWhenUsed/>
    <w:rsid w:val="00372534"/>
    <w:rPr>
      <w:vertAlign w:val="superscript"/>
    </w:rPr>
  </w:style>
  <w:style w:type="paragraph" w:customStyle="1" w:styleId="m6726990356892883666msolistparagraph">
    <w:name w:val="m_6726990356892883666msolistparagraph"/>
    <w:basedOn w:val="Normale"/>
    <w:rsid w:val="004D2C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D2CCF"/>
    <w:pPr>
      <w:spacing w:after="200" w:line="276" w:lineRule="auto"/>
      <w:ind w:left="720"/>
      <w:contextualSpacing/>
    </w:pPr>
  </w:style>
  <w:style w:type="character" w:styleId="Enfasigrassetto">
    <w:name w:val="Strong"/>
    <w:basedOn w:val="Carpredefinitoparagrafo"/>
    <w:uiPriority w:val="22"/>
    <w:qFormat/>
    <w:rsid w:val="004D2CCF"/>
    <w:rPr>
      <w:b/>
      <w:bCs/>
    </w:rPr>
  </w:style>
  <w:style w:type="paragraph" w:customStyle="1" w:styleId="atext">
    <w:name w:val="atext"/>
    <w:basedOn w:val="Normale"/>
    <w:rsid w:val="004D2C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ingitem">
    <w:name w:val="listing__item"/>
    <w:basedOn w:val="Normale"/>
    <w:rsid w:val="004D2CC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D2CCF"/>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7E4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E32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3811">
      <w:bodyDiv w:val="1"/>
      <w:marLeft w:val="0"/>
      <w:marRight w:val="0"/>
      <w:marTop w:val="0"/>
      <w:marBottom w:val="0"/>
      <w:divBdr>
        <w:top w:val="none" w:sz="0" w:space="0" w:color="auto"/>
        <w:left w:val="none" w:sz="0" w:space="0" w:color="auto"/>
        <w:bottom w:val="none" w:sz="0" w:space="0" w:color="auto"/>
        <w:right w:val="none" w:sz="0" w:space="0" w:color="auto"/>
      </w:divBdr>
    </w:div>
    <w:div w:id="447239225">
      <w:bodyDiv w:val="1"/>
      <w:marLeft w:val="0"/>
      <w:marRight w:val="0"/>
      <w:marTop w:val="0"/>
      <w:marBottom w:val="0"/>
      <w:divBdr>
        <w:top w:val="none" w:sz="0" w:space="0" w:color="auto"/>
        <w:left w:val="none" w:sz="0" w:space="0" w:color="auto"/>
        <w:bottom w:val="none" w:sz="0" w:space="0" w:color="auto"/>
        <w:right w:val="none" w:sz="0" w:space="0" w:color="auto"/>
      </w:divBdr>
    </w:div>
    <w:div w:id="646907085">
      <w:bodyDiv w:val="1"/>
      <w:marLeft w:val="0"/>
      <w:marRight w:val="0"/>
      <w:marTop w:val="0"/>
      <w:marBottom w:val="0"/>
      <w:divBdr>
        <w:top w:val="none" w:sz="0" w:space="0" w:color="auto"/>
        <w:left w:val="none" w:sz="0" w:space="0" w:color="auto"/>
        <w:bottom w:val="none" w:sz="0" w:space="0" w:color="auto"/>
        <w:right w:val="none" w:sz="0" w:space="0" w:color="auto"/>
      </w:divBdr>
    </w:div>
    <w:div w:id="690448539">
      <w:bodyDiv w:val="1"/>
      <w:marLeft w:val="0"/>
      <w:marRight w:val="0"/>
      <w:marTop w:val="0"/>
      <w:marBottom w:val="0"/>
      <w:divBdr>
        <w:top w:val="none" w:sz="0" w:space="0" w:color="auto"/>
        <w:left w:val="none" w:sz="0" w:space="0" w:color="auto"/>
        <w:bottom w:val="none" w:sz="0" w:space="0" w:color="auto"/>
        <w:right w:val="none" w:sz="0" w:space="0" w:color="auto"/>
      </w:divBdr>
    </w:div>
    <w:div w:id="761608044">
      <w:bodyDiv w:val="1"/>
      <w:marLeft w:val="0"/>
      <w:marRight w:val="0"/>
      <w:marTop w:val="0"/>
      <w:marBottom w:val="0"/>
      <w:divBdr>
        <w:top w:val="none" w:sz="0" w:space="0" w:color="auto"/>
        <w:left w:val="none" w:sz="0" w:space="0" w:color="auto"/>
        <w:bottom w:val="none" w:sz="0" w:space="0" w:color="auto"/>
        <w:right w:val="none" w:sz="0" w:space="0" w:color="auto"/>
      </w:divBdr>
    </w:div>
    <w:div w:id="829178663">
      <w:bodyDiv w:val="1"/>
      <w:marLeft w:val="0"/>
      <w:marRight w:val="0"/>
      <w:marTop w:val="0"/>
      <w:marBottom w:val="0"/>
      <w:divBdr>
        <w:top w:val="none" w:sz="0" w:space="0" w:color="auto"/>
        <w:left w:val="none" w:sz="0" w:space="0" w:color="auto"/>
        <w:bottom w:val="none" w:sz="0" w:space="0" w:color="auto"/>
        <w:right w:val="none" w:sz="0" w:space="0" w:color="auto"/>
      </w:divBdr>
    </w:div>
    <w:div w:id="955721351">
      <w:bodyDiv w:val="1"/>
      <w:marLeft w:val="0"/>
      <w:marRight w:val="0"/>
      <w:marTop w:val="0"/>
      <w:marBottom w:val="0"/>
      <w:divBdr>
        <w:top w:val="none" w:sz="0" w:space="0" w:color="auto"/>
        <w:left w:val="none" w:sz="0" w:space="0" w:color="auto"/>
        <w:bottom w:val="none" w:sz="0" w:space="0" w:color="auto"/>
        <w:right w:val="none" w:sz="0" w:space="0" w:color="auto"/>
      </w:divBdr>
    </w:div>
    <w:div w:id="1298030115">
      <w:bodyDiv w:val="1"/>
      <w:marLeft w:val="0"/>
      <w:marRight w:val="0"/>
      <w:marTop w:val="0"/>
      <w:marBottom w:val="0"/>
      <w:divBdr>
        <w:top w:val="none" w:sz="0" w:space="0" w:color="auto"/>
        <w:left w:val="none" w:sz="0" w:space="0" w:color="auto"/>
        <w:bottom w:val="none" w:sz="0" w:space="0" w:color="auto"/>
        <w:right w:val="none" w:sz="0" w:space="0" w:color="auto"/>
      </w:divBdr>
    </w:div>
    <w:div w:id="1324162552">
      <w:bodyDiv w:val="1"/>
      <w:marLeft w:val="0"/>
      <w:marRight w:val="0"/>
      <w:marTop w:val="0"/>
      <w:marBottom w:val="0"/>
      <w:divBdr>
        <w:top w:val="none" w:sz="0" w:space="0" w:color="auto"/>
        <w:left w:val="none" w:sz="0" w:space="0" w:color="auto"/>
        <w:bottom w:val="none" w:sz="0" w:space="0" w:color="auto"/>
        <w:right w:val="none" w:sz="0" w:space="0" w:color="auto"/>
      </w:divBdr>
      <w:divsChild>
        <w:div w:id="1275940440">
          <w:marLeft w:val="0"/>
          <w:marRight w:val="0"/>
          <w:marTop w:val="0"/>
          <w:marBottom w:val="0"/>
          <w:divBdr>
            <w:top w:val="none" w:sz="0" w:space="0" w:color="auto"/>
            <w:left w:val="none" w:sz="0" w:space="0" w:color="auto"/>
            <w:bottom w:val="dotted" w:sz="4" w:space="1" w:color="auto"/>
            <w:right w:val="none" w:sz="0" w:space="0" w:color="auto"/>
          </w:divBdr>
        </w:div>
        <w:div w:id="415711434">
          <w:marLeft w:val="0"/>
          <w:marRight w:val="0"/>
          <w:marTop w:val="0"/>
          <w:marBottom w:val="0"/>
          <w:divBdr>
            <w:top w:val="none" w:sz="0" w:space="0" w:color="auto"/>
            <w:left w:val="none" w:sz="0" w:space="0" w:color="auto"/>
            <w:bottom w:val="dotted" w:sz="4" w:space="1" w:color="auto"/>
            <w:right w:val="none" w:sz="0" w:space="0" w:color="auto"/>
          </w:divBdr>
        </w:div>
        <w:div w:id="771432697">
          <w:marLeft w:val="0"/>
          <w:marRight w:val="0"/>
          <w:marTop w:val="0"/>
          <w:marBottom w:val="0"/>
          <w:divBdr>
            <w:top w:val="none" w:sz="0" w:space="0" w:color="auto"/>
            <w:left w:val="none" w:sz="0" w:space="0" w:color="auto"/>
            <w:bottom w:val="dotted" w:sz="4" w:space="1" w:color="auto"/>
            <w:right w:val="none" w:sz="0" w:space="0" w:color="auto"/>
          </w:divBdr>
        </w:div>
        <w:div w:id="211115900">
          <w:marLeft w:val="0"/>
          <w:marRight w:val="0"/>
          <w:marTop w:val="0"/>
          <w:marBottom w:val="0"/>
          <w:divBdr>
            <w:top w:val="none" w:sz="0" w:space="0" w:color="auto"/>
            <w:left w:val="none" w:sz="0" w:space="0" w:color="auto"/>
            <w:bottom w:val="dotted" w:sz="4" w:space="1" w:color="auto"/>
            <w:right w:val="none" w:sz="0" w:space="0" w:color="auto"/>
          </w:divBdr>
        </w:div>
        <w:div w:id="1291983180">
          <w:marLeft w:val="0"/>
          <w:marRight w:val="0"/>
          <w:marTop w:val="0"/>
          <w:marBottom w:val="0"/>
          <w:divBdr>
            <w:top w:val="none" w:sz="0" w:space="0" w:color="auto"/>
            <w:left w:val="none" w:sz="0" w:space="0" w:color="auto"/>
            <w:bottom w:val="dotted" w:sz="4" w:space="1" w:color="auto"/>
            <w:right w:val="none" w:sz="0" w:space="0" w:color="auto"/>
          </w:divBdr>
        </w:div>
        <w:div w:id="277107397">
          <w:marLeft w:val="0"/>
          <w:marRight w:val="0"/>
          <w:marTop w:val="0"/>
          <w:marBottom w:val="0"/>
          <w:divBdr>
            <w:top w:val="none" w:sz="0" w:space="0" w:color="auto"/>
            <w:left w:val="none" w:sz="0" w:space="0" w:color="auto"/>
            <w:bottom w:val="dotted" w:sz="4" w:space="1" w:color="auto"/>
            <w:right w:val="none" w:sz="0" w:space="0" w:color="auto"/>
          </w:divBdr>
        </w:div>
        <w:div w:id="1618103045">
          <w:marLeft w:val="0"/>
          <w:marRight w:val="0"/>
          <w:marTop w:val="0"/>
          <w:marBottom w:val="0"/>
          <w:divBdr>
            <w:top w:val="none" w:sz="0" w:space="0" w:color="auto"/>
            <w:left w:val="none" w:sz="0" w:space="0" w:color="auto"/>
            <w:bottom w:val="dotted" w:sz="4" w:space="1" w:color="auto"/>
            <w:right w:val="none" w:sz="0" w:space="0" w:color="auto"/>
          </w:divBdr>
        </w:div>
        <w:div w:id="656147852">
          <w:marLeft w:val="0"/>
          <w:marRight w:val="0"/>
          <w:marTop w:val="0"/>
          <w:marBottom w:val="0"/>
          <w:divBdr>
            <w:top w:val="none" w:sz="0" w:space="0" w:color="auto"/>
            <w:left w:val="none" w:sz="0" w:space="0" w:color="auto"/>
            <w:bottom w:val="dotted" w:sz="4" w:space="1" w:color="auto"/>
            <w:right w:val="none" w:sz="0" w:space="0" w:color="auto"/>
          </w:divBdr>
        </w:div>
        <w:div w:id="1413964473">
          <w:marLeft w:val="0"/>
          <w:marRight w:val="0"/>
          <w:marTop w:val="0"/>
          <w:marBottom w:val="0"/>
          <w:divBdr>
            <w:top w:val="none" w:sz="0" w:space="0" w:color="auto"/>
            <w:left w:val="none" w:sz="0" w:space="0" w:color="auto"/>
            <w:bottom w:val="dotted" w:sz="4" w:space="1" w:color="auto"/>
            <w:right w:val="none" w:sz="0" w:space="0" w:color="auto"/>
          </w:divBdr>
        </w:div>
        <w:div w:id="57093506">
          <w:marLeft w:val="0"/>
          <w:marRight w:val="0"/>
          <w:marTop w:val="0"/>
          <w:marBottom w:val="0"/>
          <w:divBdr>
            <w:top w:val="none" w:sz="0" w:space="0" w:color="auto"/>
            <w:left w:val="none" w:sz="0" w:space="0" w:color="auto"/>
            <w:bottom w:val="dotted" w:sz="4" w:space="1" w:color="auto"/>
            <w:right w:val="none" w:sz="0" w:space="0" w:color="auto"/>
          </w:divBdr>
        </w:div>
        <w:div w:id="1470172313">
          <w:marLeft w:val="0"/>
          <w:marRight w:val="0"/>
          <w:marTop w:val="0"/>
          <w:marBottom w:val="0"/>
          <w:divBdr>
            <w:top w:val="none" w:sz="0" w:space="0" w:color="auto"/>
            <w:left w:val="none" w:sz="0" w:space="0" w:color="auto"/>
            <w:bottom w:val="dotted" w:sz="4" w:space="1" w:color="auto"/>
            <w:right w:val="none" w:sz="0" w:space="0" w:color="auto"/>
          </w:divBdr>
        </w:div>
        <w:div w:id="1193687553">
          <w:marLeft w:val="0"/>
          <w:marRight w:val="0"/>
          <w:marTop w:val="0"/>
          <w:marBottom w:val="0"/>
          <w:divBdr>
            <w:top w:val="none" w:sz="0" w:space="0" w:color="auto"/>
            <w:left w:val="none" w:sz="0" w:space="0" w:color="auto"/>
            <w:bottom w:val="dotted" w:sz="4" w:space="1" w:color="auto"/>
            <w:right w:val="none" w:sz="0" w:space="0" w:color="auto"/>
          </w:divBdr>
        </w:div>
      </w:divsChild>
    </w:div>
    <w:div w:id="1372144116">
      <w:bodyDiv w:val="1"/>
      <w:marLeft w:val="0"/>
      <w:marRight w:val="0"/>
      <w:marTop w:val="0"/>
      <w:marBottom w:val="0"/>
      <w:divBdr>
        <w:top w:val="none" w:sz="0" w:space="0" w:color="auto"/>
        <w:left w:val="none" w:sz="0" w:space="0" w:color="auto"/>
        <w:bottom w:val="none" w:sz="0" w:space="0" w:color="auto"/>
        <w:right w:val="none" w:sz="0" w:space="0" w:color="auto"/>
      </w:divBdr>
    </w:div>
    <w:div w:id="1440568151">
      <w:bodyDiv w:val="1"/>
      <w:marLeft w:val="0"/>
      <w:marRight w:val="0"/>
      <w:marTop w:val="0"/>
      <w:marBottom w:val="0"/>
      <w:divBdr>
        <w:top w:val="none" w:sz="0" w:space="0" w:color="auto"/>
        <w:left w:val="none" w:sz="0" w:space="0" w:color="auto"/>
        <w:bottom w:val="none" w:sz="0" w:space="0" w:color="auto"/>
        <w:right w:val="none" w:sz="0" w:space="0" w:color="auto"/>
      </w:divBdr>
    </w:div>
    <w:div w:id="1464884868">
      <w:bodyDiv w:val="1"/>
      <w:marLeft w:val="0"/>
      <w:marRight w:val="0"/>
      <w:marTop w:val="0"/>
      <w:marBottom w:val="0"/>
      <w:divBdr>
        <w:top w:val="none" w:sz="0" w:space="0" w:color="auto"/>
        <w:left w:val="none" w:sz="0" w:space="0" w:color="auto"/>
        <w:bottom w:val="none" w:sz="0" w:space="0" w:color="auto"/>
        <w:right w:val="none" w:sz="0" w:space="0" w:color="auto"/>
      </w:divBdr>
    </w:div>
    <w:div w:id="1526748267">
      <w:bodyDiv w:val="1"/>
      <w:marLeft w:val="0"/>
      <w:marRight w:val="0"/>
      <w:marTop w:val="0"/>
      <w:marBottom w:val="0"/>
      <w:divBdr>
        <w:top w:val="none" w:sz="0" w:space="0" w:color="auto"/>
        <w:left w:val="none" w:sz="0" w:space="0" w:color="auto"/>
        <w:bottom w:val="none" w:sz="0" w:space="0" w:color="auto"/>
        <w:right w:val="none" w:sz="0" w:space="0" w:color="auto"/>
      </w:divBdr>
    </w:div>
    <w:div w:id="1534801451">
      <w:bodyDiv w:val="1"/>
      <w:marLeft w:val="0"/>
      <w:marRight w:val="0"/>
      <w:marTop w:val="0"/>
      <w:marBottom w:val="0"/>
      <w:divBdr>
        <w:top w:val="none" w:sz="0" w:space="0" w:color="auto"/>
        <w:left w:val="none" w:sz="0" w:space="0" w:color="auto"/>
        <w:bottom w:val="none" w:sz="0" w:space="0" w:color="auto"/>
        <w:right w:val="none" w:sz="0" w:space="0" w:color="auto"/>
      </w:divBdr>
      <w:divsChild>
        <w:div w:id="160702826">
          <w:marLeft w:val="0"/>
          <w:marRight w:val="0"/>
          <w:marTop w:val="0"/>
          <w:marBottom w:val="300"/>
          <w:divBdr>
            <w:top w:val="none" w:sz="0" w:space="0" w:color="auto"/>
            <w:left w:val="none" w:sz="0" w:space="0" w:color="auto"/>
            <w:bottom w:val="none" w:sz="0" w:space="0" w:color="auto"/>
            <w:right w:val="none" w:sz="0" w:space="0" w:color="auto"/>
          </w:divBdr>
        </w:div>
        <w:div w:id="274673781">
          <w:marLeft w:val="0"/>
          <w:marRight w:val="0"/>
          <w:marTop w:val="0"/>
          <w:marBottom w:val="0"/>
          <w:divBdr>
            <w:top w:val="none" w:sz="0" w:space="0" w:color="auto"/>
            <w:left w:val="none" w:sz="0" w:space="0" w:color="auto"/>
            <w:bottom w:val="single" w:sz="48" w:space="0" w:color="F5E5D5"/>
            <w:right w:val="none" w:sz="0" w:space="0" w:color="auto"/>
          </w:divBdr>
          <w:divsChild>
            <w:div w:id="1789426227">
              <w:marLeft w:val="0"/>
              <w:marRight w:val="0"/>
              <w:marTop w:val="0"/>
              <w:marBottom w:val="0"/>
              <w:divBdr>
                <w:top w:val="none" w:sz="0" w:space="0" w:color="auto"/>
                <w:left w:val="none" w:sz="0" w:space="0" w:color="auto"/>
                <w:bottom w:val="none" w:sz="0" w:space="0" w:color="auto"/>
                <w:right w:val="none" w:sz="0" w:space="0" w:color="auto"/>
              </w:divBdr>
              <w:divsChild>
                <w:div w:id="103038259">
                  <w:marLeft w:val="0"/>
                  <w:marRight w:val="0"/>
                  <w:marTop w:val="0"/>
                  <w:marBottom w:val="0"/>
                  <w:divBdr>
                    <w:top w:val="none" w:sz="0" w:space="0" w:color="auto"/>
                    <w:left w:val="none" w:sz="0" w:space="0" w:color="auto"/>
                    <w:bottom w:val="none" w:sz="0" w:space="0" w:color="auto"/>
                    <w:right w:val="none" w:sz="0" w:space="0" w:color="auto"/>
                  </w:divBdr>
                  <w:divsChild>
                    <w:div w:id="1038159713">
                      <w:marLeft w:val="0"/>
                      <w:marRight w:val="0"/>
                      <w:marTop w:val="0"/>
                      <w:marBottom w:val="0"/>
                      <w:divBdr>
                        <w:top w:val="none" w:sz="0" w:space="0" w:color="auto"/>
                        <w:left w:val="none" w:sz="0" w:space="0" w:color="auto"/>
                        <w:bottom w:val="none" w:sz="0" w:space="0" w:color="auto"/>
                        <w:right w:val="none" w:sz="0" w:space="0" w:color="auto"/>
                      </w:divBdr>
                      <w:divsChild>
                        <w:div w:id="1521697034">
                          <w:marLeft w:val="0"/>
                          <w:marRight w:val="0"/>
                          <w:marTop w:val="0"/>
                          <w:marBottom w:val="0"/>
                          <w:divBdr>
                            <w:top w:val="none" w:sz="0" w:space="0" w:color="auto"/>
                            <w:left w:val="none" w:sz="0" w:space="0" w:color="auto"/>
                            <w:bottom w:val="none" w:sz="0" w:space="0" w:color="auto"/>
                            <w:right w:val="none" w:sz="0" w:space="0" w:color="auto"/>
                          </w:divBdr>
                          <w:divsChild>
                            <w:div w:id="141889120">
                              <w:marLeft w:val="225"/>
                              <w:marRight w:val="0"/>
                              <w:marTop w:val="0"/>
                              <w:marBottom w:val="0"/>
                              <w:divBdr>
                                <w:top w:val="none" w:sz="0" w:space="0" w:color="auto"/>
                                <w:left w:val="none" w:sz="0" w:space="0" w:color="auto"/>
                                <w:bottom w:val="none" w:sz="0" w:space="0" w:color="auto"/>
                                <w:right w:val="none" w:sz="0" w:space="0" w:color="auto"/>
                              </w:divBdr>
                              <w:divsChild>
                                <w:div w:id="320279110">
                                  <w:marLeft w:val="0"/>
                                  <w:marRight w:val="0"/>
                                  <w:marTop w:val="0"/>
                                  <w:marBottom w:val="0"/>
                                  <w:divBdr>
                                    <w:top w:val="single" w:sz="6" w:space="5" w:color="2172CE"/>
                                    <w:left w:val="single" w:sz="6" w:space="4" w:color="2172CE"/>
                                    <w:bottom w:val="single" w:sz="6" w:space="4" w:color="2172CE"/>
                                    <w:right w:val="single" w:sz="6" w:space="4" w:color="2172CE"/>
                                  </w:divBdr>
                                </w:div>
                              </w:divsChild>
                            </w:div>
                            <w:div w:id="16650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390084">
          <w:marLeft w:val="0"/>
          <w:marRight w:val="0"/>
          <w:marTop w:val="0"/>
          <w:marBottom w:val="75"/>
          <w:divBdr>
            <w:top w:val="none" w:sz="0" w:space="0" w:color="auto"/>
            <w:left w:val="none" w:sz="0" w:space="0" w:color="auto"/>
            <w:bottom w:val="none" w:sz="0" w:space="0" w:color="auto"/>
            <w:right w:val="none" w:sz="0" w:space="0" w:color="auto"/>
          </w:divBdr>
        </w:div>
        <w:div w:id="55133552">
          <w:marLeft w:val="0"/>
          <w:marRight w:val="0"/>
          <w:marTop w:val="0"/>
          <w:marBottom w:val="300"/>
          <w:divBdr>
            <w:top w:val="single" w:sz="6" w:space="4" w:color="0F0F0F"/>
            <w:left w:val="none" w:sz="0" w:space="0" w:color="auto"/>
            <w:bottom w:val="none" w:sz="0" w:space="0" w:color="auto"/>
            <w:right w:val="none" w:sz="0" w:space="0" w:color="auto"/>
          </w:divBdr>
        </w:div>
        <w:div w:id="1823547423">
          <w:marLeft w:val="0"/>
          <w:marRight w:val="0"/>
          <w:marTop w:val="0"/>
          <w:marBottom w:val="75"/>
          <w:divBdr>
            <w:top w:val="none" w:sz="0" w:space="0" w:color="auto"/>
            <w:left w:val="none" w:sz="0" w:space="0" w:color="auto"/>
            <w:bottom w:val="none" w:sz="0" w:space="0" w:color="auto"/>
            <w:right w:val="none" w:sz="0" w:space="0" w:color="auto"/>
          </w:divBdr>
        </w:div>
      </w:divsChild>
    </w:div>
    <w:div w:id="1554657783">
      <w:bodyDiv w:val="1"/>
      <w:marLeft w:val="0"/>
      <w:marRight w:val="0"/>
      <w:marTop w:val="0"/>
      <w:marBottom w:val="0"/>
      <w:divBdr>
        <w:top w:val="none" w:sz="0" w:space="0" w:color="auto"/>
        <w:left w:val="none" w:sz="0" w:space="0" w:color="auto"/>
        <w:bottom w:val="none" w:sz="0" w:space="0" w:color="auto"/>
        <w:right w:val="none" w:sz="0" w:space="0" w:color="auto"/>
      </w:divBdr>
    </w:div>
    <w:div w:id="1585066061">
      <w:bodyDiv w:val="1"/>
      <w:marLeft w:val="0"/>
      <w:marRight w:val="0"/>
      <w:marTop w:val="0"/>
      <w:marBottom w:val="0"/>
      <w:divBdr>
        <w:top w:val="none" w:sz="0" w:space="0" w:color="auto"/>
        <w:left w:val="none" w:sz="0" w:space="0" w:color="auto"/>
        <w:bottom w:val="none" w:sz="0" w:space="0" w:color="auto"/>
        <w:right w:val="none" w:sz="0" w:space="0" w:color="auto"/>
      </w:divBdr>
    </w:div>
    <w:div w:id="1628584708">
      <w:bodyDiv w:val="1"/>
      <w:marLeft w:val="0"/>
      <w:marRight w:val="0"/>
      <w:marTop w:val="0"/>
      <w:marBottom w:val="0"/>
      <w:divBdr>
        <w:top w:val="none" w:sz="0" w:space="0" w:color="auto"/>
        <w:left w:val="none" w:sz="0" w:space="0" w:color="auto"/>
        <w:bottom w:val="none" w:sz="0" w:space="0" w:color="auto"/>
        <w:right w:val="none" w:sz="0" w:space="0" w:color="auto"/>
      </w:divBdr>
    </w:div>
    <w:div w:id="21247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1830-F222-B146-B514-0E8709E5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6680</Words>
  <Characters>38078</Characters>
  <Application>Microsoft Office Word</Application>
  <DocSecurity>0</DocSecurity>
  <Lines>317</Lines>
  <Paragraphs>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Di Giacomo</dc:creator>
  <cp:keywords/>
  <dc:description/>
  <cp:lastModifiedBy>Mauro Di Giacomo</cp:lastModifiedBy>
  <cp:revision>2</cp:revision>
  <cp:lastPrinted>2021-03-17T13:30:00Z</cp:lastPrinted>
  <dcterms:created xsi:type="dcterms:W3CDTF">2023-05-16T17:22:00Z</dcterms:created>
  <dcterms:modified xsi:type="dcterms:W3CDTF">2023-05-16T17:22:00Z</dcterms:modified>
</cp:coreProperties>
</file>